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2572" w:rsidRPr="00B414AC" w:rsidRDefault="00AD2572" w:rsidP="00AD2572">
      <w:pPr>
        <w:pStyle w:val="Heading1"/>
        <w:ind w:left="432" w:hanging="432"/>
        <w:rPr>
          <w:rFonts w:ascii="Verdana" w:hAnsi="Verdana"/>
          <w:szCs w:val="20"/>
        </w:rPr>
      </w:pPr>
      <w:bookmarkStart w:id="0" w:name="_GoBack"/>
      <w:bookmarkEnd w:id="0"/>
      <w:r w:rsidRPr="00B414AC">
        <w:rPr>
          <w:rFonts w:ascii="Verdana" w:hAnsi="Verdana"/>
          <w:szCs w:val="20"/>
        </w:rPr>
        <w:t>Lood</w:t>
      </w:r>
    </w:p>
    <w:p w:rsidR="00AD2572" w:rsidRPr="00B414AC" w:rsidRDefault="00AD2572" w:rsidP="00AD2572">
      <w:pPr>
        <w:pStyle w:val="Geenafstand"/>
        <w:jc w:val="both"/>
        <w:rPr>
          <w:rFonts w:ascii="Verdana" w:hAnsi="Verdana"/>
          <w:b/>
          <w:sz w:val="20"/>
          <w:szCs w:val="20"/>
        </w:rPr>
      </w:pPr>
      <w:r w:rsidRPr="00B414AC">
        <w:rPr>
          <w:rFonts w:ascii="Verdana" w:hAnsi="Verdana"/>
          <w:b/>
          <w:sz w:val="20"/>
          <w:szCs w:val="20"/>
        </w:rPr>
        <w:t>Algemene informatie</w:t>
      </w:r>
    </w:p>
    <w:p w:rsidR="00AD2572" w:rsidRPr="00B414AC" w:rsidRDefault="00AD2572" w:rsidP="00AD2572">
      <w:pPr>
        <w:pStyle w:val="Geenafstand"/>
        <w:jc w:val="both"/>
        <w:rPr>
          <w:rFonts w:ascii="Verdana" w:hAnsi="Verdana"/>
          <w:sz w:val="20"/>
          <w:szCs w:val="20"/>
        </w:rPr>
      </w:pPr>
      <w:r w:rsidRPr="00B414AC">
        <w:rPr>
          <w:rFonts w:ascii="Verdana" w:hAnsi="Verdana"/>
          <w:sz w:val="20"/>
          <w:szCs w:val="20"/>
        </w:rPr>
        <w:t xml:space="preserve">Expositie aan lood kan in verschillende situaties plaatsvinden. Chronische blootstelling wordt vooral waargenomen bij mensen die beroepshalve in contact komen met lood. Daarnaast valt te denken aan verontreiniging van het milieu door lood, blootstelling aan lood op schietbanen, cosmetica, afbijten van oude loodbevattende verflagen of alternatieve geneeswijzen. [1,2] </w:t>
      </w:r>
    </w:p>
    <w:p w:rsidR="00AD2572" w:rsidRPr="00B414AC" w:rsidRDefault="00AD2572" w:rsidP="00AD2572">
      <w:pPr>
        <w:jc w:val="both"/>
        <w:rPr>
          <w:rFonts w:ascii="Verdana" w:hAnsi="Verdana"/>
          <w:szCs w:val="20"/>
        </w:rPr>
      </w:pPr>
      <w:r w:rsidRPr="00B414AC">
        <w:rPr>
          <w:rFonts w:ascii="Verdana" w:hAnsi="Verdana"/>
          <w:szCs w:val="20"/>
        </w:rPr>
        <w:t>Lood heeft een remmende werking op enzymen die sulfhydril(SH)-, fosfaat- en carboxylgroepen bevatten en kan zo effecten in diverse orgaansystemen veroorzaken. Bekend is de remmende werking van lood op de haemsynthese door een verminderde activiteit van met name de enzymen δ-aminolevulinezuur(ALA)-dehydratase en ferrochelatase. De symptomen zijn vaak niet specifiek en hangen onder andere af van de intensiteit en de duur van de blootstelling. [1,3]</w:t>
      </w:r>
    </w:p>
    <w:p w:rsidR="00AD2572" w:rsidRPr="00B414AC" w:rsidRDefault="00AD2572" w:rsidP="00AD2572">
      <w:pPr>
        <w:jc w:val="both"/>
        <w:rPr>
          <w:rFonts w:ascii="Verdana" w:hAnsi="Verdana"/>
          <w:szCs w:val="20"/>
        </w:rPr>
      </w:pPr>
    </w:p>
    <w:p w:rsidR="00AD2572" w:rsidRPr="00B414AC" w:rsidRDefault="00AD2572" w:rsidP="00AD2572">
      <w:pPr>
        <w:jc w:val="both"/>
        <w:rPr>
          <w:rFonts w:ascii="Verdana" w:hAnsi="Verdana"/>
          <w:b/>
          <w:szCs w:val="20"/>
        </w:rPr>
      </w:pPr>
      <w:r w:rsidRPr="00B414AC">
        <w:rPr>
          <w:rFonts w:ascii="Verdana" w:hAnsi="Verdana"/>
          <w:b/>
          <w:szCs w:val="20"/>
        </w:rPr>
        <w:t>Preparaten</w:t>
      </w:r>
    </w:p>
    <w:p w:rsidR="00AD2572" w:rsidRPr="00B414AC" w:rsidRDefault="00AD2572" w:rsidP="00AD2572">
      <w:pPr>
        <w:jc w:val="both"/>
        <w:rPr>
          <w:rFonts w:ascii="Verdana" w:hAnsi="Verdana"/>
          <w:szCs w:val="20"/>
        </w:rPr>
      </w:pPr>
      <w:r w:rsidRPr="00B414AC">
        <w:rPr>
          <w:rFonts w:ascii="Verdana" w:hAnsi="Verdana"/>
          <w:szCs w:val="20"/>
        </w:rPr>
        <w:t>Geen opmerkingen</w:t>
      </w:r>
    </w:p>
    <w:p w:rsidR="00AD2572" w:rsidRPr="00B414AC" w:rsidRDefault="00AD2572" w:rsidP="00AD2572">
      <w:pPr>
        <w:jc w:val="both"/>
        <w:rPr>
          <w:rFonts w:ascii="Verdana" w:hAnsi="Verdana"/>
          <w:szCs w:val="20"/>
        </w:rPr>
      </w:pPr>
    </w:p>
    <w:p w:rsidR="00AD2572" w:rsidRPr="00B414AC" w:rsidRDefault="00AD2572" w:rsidP="00AD2572">
      <w:pPr>
        <w:jc w:val="both"/>
        <w:rPr>
          <w:rFonts w:ascii="Verdana" w:hAnsi="Verdana"/>
          <w:b/>
          <w:szCs w:val="20"/>
        </w:rPr>
      </w:pPr>
      <w:r w:rsidRPr="00B414AC">
        <w:rPr>
          <w:rFonts w:ascii="Verdana" w:hAnsi="Verdana"/>
          <w:b/>
          <w:szCs w:val="20"/>
        </w:rPr>
        <w:t>Synoniemen</w:t>
      </w:r>
    </w:p>
    <w:p w:rsidR="00AD2572" w:rsidRPr="00B414AC" w:rsidRDefault="00AD2572" w:rsidP="00AD2572">
      <w:pPr>
        <w:jc w:val="both"/>
        <w:rPr>
          <w:rFonts w:ascii="Verdana" w:hAnsi="Verdana"/>
          <w:szCs w:val="20"/>
        </w:rPr>
      </w:pPr>
      <w:r w:rsidRPr="00B414AC">
        <w:rPr>
          <w:rFonts w:ascii="Verdana" w:hAnsi="Verdana"/>
          <w:szCs w:val="20"/>
        </w:rPr>
        <w:t>Geen opmerkingen</w:t>
      </w:r>
    </w:p>
    <w:p w:rsidR="00AD2572" w:rsidRPr="00B414AC" w:rsidRDefault="00AD2572" w:rsidP="00AD2572">
      <w:pPr>
        <w:jc w:val="both"/>
        <w:rPr>
          <w:rFonts w:ascii="Verdana" w:hAnsi="Verdana"/>
          <w:szCs w:val="20"/>
        </w:rPr>
      </w:pPr>
    </w:p>
    <w:p w:rsidR="00AD2572" w:rsidRPr="00B414AC" w:rsidRDefault="00AD2572" w:rsidP="00AD2572">
      <w:pPr>
        <w:jc w:val="both"/>
        <w:rPr>
          <w:rFonts w:ascii="Verdana" w:hAnsi="Verdana"/>
          <w:b/>
          <w:szCs w:val="20"/>
        </w:rPr>
      </w:pPr>
      <w:r w:rsidRPr="00B414AC">
        <w:rPr>
          <w:rFonts w:ascii="Verdana" w:hAnsi="Verdana"/>
          <w:b/>
          <w:szCs w:val="20"/>
        </w:rPr>
        <w:t>Toxische dosis</w:t>
      </w:r>
    </w:p>
    <w:p w:rsidR="00AD2572" w:rsidRPr="00B414AC" w:rsidRDefault="00AD2572" w:rsidP="00AD2572">
      <w:pPr>
        <w:autoSpaceDE w:val="0"/>
        <w:autoSpaceDN w:val="0"/>
        <w:adjustRightInd w:val="0"/>
        <w:jc w:val="both"/>
        <w:rPr>
          <w:rFonts w:ascii="Verdana" w:hAnsi="Verdana"/>
        </w:rPr>
      </w:pPr>
      <w:r w:rsidRPr="00B414AC">
        <w:rPr>
          <w:rFonts w:ascii="Verdana" w:hAnsi="Verdana" w:cs="HelveticaNeue-Roman"/>
          <w:color w:val="1F1410"/>
          <w:szCs w:val="20"/>
          <w:lang w:eastAsia="nl-NL"/>
        </w:rPr>
        <w:t xml:space="preserve">De dagelijkse inname van lood via voeding bedraagt gemiddeld 0,05 μg/kg lichaamsgewicht voor volwassenen en 0,10 μg/kg lichaamsgewicht voor kinderen tot 6 jaar. </w:t>
      </w:r>
      <w:r w:rsidRPr="00B414AC">
        <w:rPr>
          <w:rFonts w:ascii="Verdana" w:hAnsi="Verdana"/>
        </w:rPr>
        <w:t xml:space="preserve">Aangezien lood in de fysiologie van de mens geen rol lijkt te hebben, kan al het lood in het menselijk lichaam als verontreiniging worden gezien. </w:t>
      </w:r>
      <w:r w:rsidRPr="00B414AC">
        <w:rPr>
          <w:rFonts w:ascii="Verdana" w:hAnsi="Verdana"/>
          <w:lang w:val="en-US"/>
        </w:rPr>
        <w:t>De IDLH (Immediately Dangerous to Life and Health values) voor inhalatie van lood bedraagt 100 mg/m</w:t>
      </w:r>
      <w:r w:rsidRPr="00B414AC">
        <w:rPr>
          <w:rFonts w:ascii="Verdana" w:hAnsi="Verdana"/>
          <w:vertAlign w:val="superscript"/>
          <w:lang w:val="en-US"/>
        </w:rPr>
        <w:t>3</w:t>
      </w:r>
      <w:r w:rsidRPr="00B414AC">
        <w:rPr>
          <w:rFonts w:ascii="Verdana" w:hAnsi="Verdana"/>
          <w:lang w:val="en-US"/>
        </w:rPr>
        <w:t xml:space="preserve">. </w:t>
      </w:r>
      <w:r w:rsidRPr="00B414AC">
        <w:rPr>
          <w:rFonts w:ascii="Verdana" w:hAnsi="Verdana"/>
        </w:rPr>
        <w:t xml:space="preserve">Een dosis van </w:t>
      </w:r>
      <w:smartTag w:uri="urn:schemas-microsoft-com:office:smarttags" w:element="metricconverter">
        <w:smartTagPr>
          <w:attr w:name="ProductID" w:val="0,5 gram"/>
        </w:smartTagPr>
        <w:r w:rsidRPr="00B414AC">
          <w:rPr>
            <w:rFonts w:ascii="Verdana" w:hAnsi="Verdana"/>
          </w:rPr>
          <w:t>0,5 gram</w:t>
        </w:r>
      </w:smartTag>
      <w:r w:rsidRPr="00B414AC">
        <w:rPr>
          <w:rFonts w:ascii="Verdana" w:hAnsi="Verdana"/>
        </w:rPr>
        <w:t xml:space="preserve"> geabsorbeerd lood is fataal. [3,4]</w:t>
      </w:r>
    </w:p>
    <w:p w:rsidR="00AD2572" w:rsidRPr="00B414AC" w:rsidRDefault="00AD2572" w:rsidP="00AD2572">
      <w:pPr>
        <w:jc w:val="both"/>
        <w:rPr>
          <w:rFonts w:ascii="Verdana" w:hAnsi="Verdana"/>
          <w:b/>
          <w:szCs w:val="20"/>
        </w:rPr>
      </w:pPr>
    </w:p>
    <w:p w:rsidR="00AD2572" w:rsidRPr="00B414AC" w:rsidRDefault="00AD2572" w:rsidP="00AD2572">
      <w:pPr>
        <w:jc w:val="both"/>
        <w:rPr>
          <w:rFonts w:ascii="Verdana" w:hAnsi="Verdana"/>
          <w:b/>
          <w:szCs w:val="20"/>
        </w:rPr>
      </w:pPr>
      <w:r w:rsidRPr="00B414AC">
        <w:rPr>
          <w:rFonts w:ascii="Verdana" w:hAnsi="Verdana"/>
          <w:b/>
          <w:szCs w:val="20"/>
        </w:rPr>
        <w:t>Kinetiek</w:t>
      </w:r>
    </w:p>
    <w:p w:rsidR="00AD2572" w:rsidRPr="00B414AC" w:rsidRDefault="00AD2572" w:rsidP="00AD2572">
      <w:pPr>
        <w:jc w:val="both"/>
        <w:rPr>
          <w:rFonts w:ascii="Verdana" w:hAnsi="Verdana"/>
          <w:szCs w:val="20"/>
        </w:rPr>
      </w:pPr>
      <w:r w:rsidRPr="00B414AC">
        <w:rPr>
          <w:rFonts w:ascii="Verdana" w:hAnsi="Verdana"/>
          <w:szCs w:val="20"/>
        </w:rPr>
        <w:t xml:space="preserve">Opname van lood vindt vooral plaats via ingestie en inhalatie, maar organische loodverbindingen kunnen ook dermaal worden opgenomen. Na ingestie wordt ongeveer 5-15% van de hoeveelheid lood opgenomen. Bij kinderen is de gastro-intestinale resorptie groter, ongeveer 40-50%. Inhalatie van loodbevattende damp of stof leidt tot een opname van 10-30% van het ingeademde lood. </w:t>
      </w:r>
      <w:r w:rsidRPr="00B414AC">
        <w:rPr>
          <w:rFonts w:ascii="Verdana" w:hAnsi="Verdana"/>
        </w:rPr>
        <w:t>[</w:t>
      </w:r>
      <w:r w:rsidRPr="00B414AC">
        <w:rPr>
          <w:rFonts w:ascii="Verdana" w:hAnsi="Verdana"/>
          <w:szCs w:val="20"/>
        </w:rPr>
        <w:t>1,3,5</w:t>
      </w:r>
      <w:r w:rsidRPr="00B414AC">
        <w:rPr>
          <w:rFonts w:ascii="Verdana" w:hAnsi="Verdana"/>
        </w:rPr>
        <w:t>]</w:t>
      </w:r>
      <w:r w:rsidRPr="00B414AC">
        <w:rPr>
          <w:rFonts w:ascii="Verdana" w:hAnsi="Verdana"/>
          <w:szCs w:val="20"/>
        </w:rPr>
        <w:t xml:space="preserve"> </w:t>
      </w:r>
    </w:p>
    <w:p w:rsidR="00AD2572" w:rsidRPr="00B414AC" w:rsidRDefault="00AD2572" w:rsidP="00AD2572">
      <w:pPr>
        <w:jc w:val="both"/>
        <w:rPr>
          <w:rFonts w:ascii="Verdana" w:hAnsi="Verdana"/>
          <w:szCs w:val="20"/>
        </w:rPr>
      </w:pPr>
      <w:r w:rsidRPr="00B414AC">
        <w:rPr>
          <w:rFonts w:ascii="Verdana" w:hAnsi="Verdana"/>
          <w:szCs w:val="20"/>
        </w:rPr>
        <w:t xml:space="preserve">Na resorptie vindt verdeling van lood in het lichaam plaats. Hierbij zijn drie compartimenten belangrijk, waartussen uitwisseling mogelijk is. </w:t>
      </w:r>
      <w:r w:rsidRPr="00B414AC">
        <w:rPr>
          <w:rFonts w:ascii="Verdana" w:hAnsi="Verdana"/>
        </w:rPr>
        <w:t>[1]</w:t>
      </w:r>
    </w:p>
    <w:p w:rsidR="00AD2572" w:rsidRPr="00B414AC" w:rsidRDefault="00AD2572" w:rsidP="00AD2572">
      <w:pPr>
        <w:numPr>
          <w:ilvl w:val="0"/>
          <w:numId w:val="28"/>
        </w:numPr>
        <w:jc w:val="both"/>
        <w:rPr>
          <w:rFonts w:ascii="Verdana" w:hAnsi="Verdana"/>
          <w:szCs w:val="20"/>
          <w:u w:val="single"/>
        </w:rPr>
      </w:pPr>
      <w:r w:rsidRPr="00B414AC">
        <w:rPr>
          <w:rFonts w:ascii="Verdana" w:hAnsi="Verdana"/>
          <w:szCs w:val="20"/>
          <w:u w:val="single"/>
        </w:rPr>
        <w:t>1</w:t>
      </w:r>
      <w:r w:rsidRPr="00B414AC">
        <w:rPr>
          <w:rFonts w:ascii="Verdana" w:hAnsi="Verdana"/>
          <w:szCs w:val="20"/>
          <w:u w:val="single"/>
          <w:vertAlign w:val="superscript"/>
        </w:rPr>
        <w:t>e</w:t>
      </w:r>
      <w:r w:rsidRPr="00B414AC">
        <w:rPr>
          <w:rFonts w:ascii="Verdana" w:hAnsi="Verdana"/>
          <w:szCs w:val="20"/>
          <w:u w:val="single"/>
        </w:rPr>
        <w:t xml:space="preserve"> compartiment: bloed </w:t>
      </w:r>
    </w:p>
    <w:p w:rsidR="00AD2572" w:rsidRPr="00B414AC" w:rsidRDefault="00AD2572" w:rsidP="00AD2572">
      <w:pPr>
        <w:ind w:left="360"/>
        <w:jc w:val="both"/>
        <w:rPr>
          <w:rFonts w:ascii="Verdana" w:hAnsi="Verdana"/>
          <w:szCs w:val="20"/>
        </w:rPr>
      </w:pPr>
      <w:r w:rsidRPr="00B414AC">
        <w:rPr>
          <w:rFonts w:ascii="Verdana" w:hAnsi="Verdana"/>
          <w:szCs w:val="20"/>
        </w:rPr>
        <w:t>Bevat ongeveer 1-4% van de hoeveelheid lood in het lichaam, waarbij het grootste deel zich in de erytrocyten bevindt. Van het lood in het plasma wordt circa 40-75% gebonden aan plasma-eiwitten. Het kan snel worden uitgewisseld naar andere compartimenten en heeft een t</w:t>
      </w:r>
      <w:r w:rsidRPr="00B414AC">
        <w:rPr>
          <w:rFonts w:ascii="Verdana" w:hAnsi="Verdana"/>
          <w:szCs w:val="20"/>
          <w:vertAlign w:val="subscript"/>
        </w:rPr>
        <w:t>1/2</w:t>
      </w:r>
      <w:r w:rsidRPr="00B414AC">
        <w:rPr>
          <w:rFonts w:ascii="Verdana" w:hAnsi="Verdana"/>
          <w:szCs w:val="20"/>
        </w:rPr>
        <w:t xml:space="preserve"> van ongeveer 35 dagen. [6]</w:t>
      </w:r>
    </w:p>
    <w:p w:rsidR="00AD2572" w:rsidRPr="00B414AC" w:rsidRDefault="00AD2572" w:rsidP="00AD2572">
      <w:pPr>
        <w:numPr>
          <w:ilvl w:val="0"/>
          <w:numId w:val="28"/>
        </w:numPr>
        <w:jc w:val="both"/>
        <w:rPr>
          <w:rFonts w:ascii="Verdana" w:hAnsi="Verdana"/>
          <w:szCs w:val="20"/>
          <w:u w:val="single"/>
        </w:rPr>
      </w:pPr>
      <w:r w:rsidRPr="00B414AC">
        <w:rPr>
          <w:rFonts w:ascii="Verdana" w:hAnsi="Verdana"/>
          <w:szCs w:val="20"/>
          <w:u w:val="single"/>
        </w:rPr>
        <w:t>2</w:t>
      </w:r>
      <w:r w:rsidRPr="00B414AC">
        <w:rPr>
          <w:rFonts w:ascii="Verdana" w:hAnsi="Verdana"/>
          <w:szCs w:val="20"/>
          <w:u w:val="single"/>
          <w:vertAlign w:val="superscript"/>
        </w:rPr>
        <w:t>e</w:t>
      </w:r>
      <w:r w:rsidRPr="00B414AC">
        <w:rPr>
          <w:rFonts w:ascii="Verdana" w:hAnsi="Verdana"/>
          <w:szCs w:val="20"/>
          <w:u w:val="single"/>
        </w:rPr>
        <w:t xml:space="preserve"> compartiment: zachte weefsels (o.a. lever, huid, vet, nier en hersenen)</w:t>
      </w:r>
    </w:p>
    <w:p w:rsidR="00AD2572" w:rsidRPr="00B414AC" w:rsidRDefault="00AD2572" w:rsidP="00AD2572">
      <w:pPr>
        <w:ind w:left="360"/>
        <w:jc w:val="both"/>
        <w:rPr>
          <w:rFonts w:ascii="Verdana" w:hAnsi="Verdana"/>
          <w:szCs w:val="20"/>
        </w:rPr>
      </w:pPr>
      <w:r w:rsidRPr="00B414AC">
        <w:rPr>
          <w:rFonts w:ascii="Verdana" w:hAnsi="Verdana"/>
          <w:szCs w:val="20"/>
        </w:rPr>
        <w:lastRenderedPageBreak/>
        <w:t>Bevat ongeveer 2-10% van de totale hoeveelheid lood in het lichaam. De verdeling verloopt langzamer dan in het eerste compartiment en de t</w:t>
      </w:r>
      <w:r w:rsidRPr="00B414AC">
        <w:rPr>
          <w:rFonts w:ascii="Verdana" w:hAnsi="Verdana"/>
          <w:szCs w:val="20"/>
          <w:vertAlign w:val="subscript"/>
        </w:rPr>
        <w:t>1/2</w:t>
      </w:r>
      <w:r w:rsidRPr="00B414AC">
        <w:rPr>
          <w:rFonts w:ascii="Verdana" w:hAnsi="Verdana"/>
          <w:szCs w:val="20"/>
        </w:rPr>
        <w:t xml:space="preserve"> is 1-2 maanden. [1,6]</w:t>
      </w:r>
    </w:p>
    <w:p w:rsidR="00AD2572" w:rsidRPr="00B414AC" w:rsidRDefault="00AD2572" w:rsidP="00AD2572">
      <w:pPr>
        <w:numPr>
          <w:ilvl w:val="0"/>
          <w:numId w:val="28"/>
        </w:numPr>
        <w:jc w:val="both"/>
        <w:rPr>
          <w:rFonts w:ascii="Verdana" w:hAnsi="Verdana"/>
          <w:szCs w:val="20"/>
          <w:u w:val="single"/>
        </w:rPr>
      </w:pPr>
      <w:r w:rsidRPr="00B414AC">
        <w:rPr>
          <w:rFonts w:ascii="Verdana" w:hAnsi="Verdana"/>
          <w:szCs w:val="20"/>
          <w:u w:val="single"/>
        </w:rPr>
        <w:t>3</w:t>
      </w:r>
      <w:r w:rsidRPr="00B414AC">
        <w:rPr>
          <w:rFonts w:ascii="Verdana" w:hAnsi="Verdana"/>
          <w:szCs w:val="20"/>
          <w:u w:val="single"/>
          <w:vertAlign w:val="superscript"/>
        </w:rPr>
        <w:t>e</w:t>
      </w:r>
      <w:r w:rsidRPr="00B414AC">
        <w:rPr>
          <w:rFonts w:ascii="Verdana" w:hAnsi="Verdana"/>
          <w:szCs w:val="20"/>
          <w:u w:val="single"/>
        </w:rPr>
        <w:t xml:space="preserve"> compartiment: compacte bot</w:t>
      </w:r>
    </w:p>
    <w:p w:rsidR="00AD2572" w:rsidRPr="00B414AC" w:rsidRDefault="00AD2572" w:rsidP="00AD2572">
      <w:pPr>
        <w:ind w:left="360"/>
        <w:jc w:val="both"/>
        <w:rPr>
          <w:rFonts w:ascii="Verdana" w:hAnsi="Verdana"/>
          <w:szCs w:val="20"/>
        </w:rPr>
      </w:pPr>
      <w:r w:rsidRPr="00B414AC">
        <w:rPr>
          <w:rFonts w:ascii="Verdana" w:hAnsi="Verdana"/>
          <w:szCs w:val="20"/>
        </w:rPr>
        <w:t>Bevat de grootste hoeveelheid lood, ongeveer 90-95% van het totaal en heeft een zeer lange t</w:t>
      </w:r>
      <w:r w:rsidRPr="00B414AC">
        <w:rPr>
          <w:rFonts w:ascii="Verdana" w:hAnsi="Verdana"/>
          <w:szCs w:val="20"/>
          <w:vertAlign w:val="subscript"/>
        </w:rPr>
        <w:t xml:space="preserve">1/2 </w:t>
      </w:r>
      <w:r w:rsidRPr="00B414AC">
        <w:rPr>
          <w:rFonts w:ascii="Verdana" w:hAnsi="Verdana"/>
          <w:szCs w:val="20"/>
        </w:rPr>
        <w:t>van 20 tot 30 jaar.</w:t>
      </w:r>
    </w:p>
    <w:p w:rsidR="00AD2572" w:rsidRPr="00B414AC" w:rsidRDefault="00AD2572" w:rsidP="00AD2572">
      <w:pPr>
        <w:jc w:val="both"/>
        <w:rPr>
          <w:rFonts w:ascii="Verdana" w:hAnsi="Verdana"/>
        </w:rPr>
      </w:pPr>
      <w:r w:rsidRPr="00B414AC">
        <w:rPr>
          <w:rFonts w:ascii="Verdana" w:hAnsi="Verdana"/>
          <w:szCs w:val="20"/>
        </w:rPr>
        <w:t xml:space="preserve">De excretie van lood geschiedt voor het grootste deel (75-80%) via de nieren. Daarnaast wordt lood uitgescheiden via de gal en een heel klein gedeelte wordt geëlimineerd via zweet, haar en nagels. </w:t>
      </w:r>
      <w:r w:rsidRPr="00B414AC">
        <w:rPr>
          <w:rFonts w:ascii="Verdana" w:hAnsi="Verdana" w:cs="Quadraat-Regular"/>
          <w:szCs w:val="20"/>
          <w:lang w:eastAsia="nl-NL"/>
        </w:rPr>
        <w:t>Bij verhoogde botombouw, zoals bij immobilisatie, osteoporose en hyperthyreoïdie, kan de loodspiegel stijgen door het vrijkomen van het lood uit het skelet. [1,2,3,6]</w:t>
      </w:r>
    </w:p>
    <w:p w:rsidR="00AD2572" w:rsidRPr="00B414AC" w:rsidRDefault="00AD2572" w:rsidP="00AD2572">
      <w:pPr>
        <w:jc w:val="both"/>
        <w:rPr>
          <w:rFonts w:ascii="Verdana" w:hAnsi="Verdana"/>
          <w:b/>
          <w:szCs w:val="20"/>
        </w:rPr>
      </w:pPr>
    </w:p>
    <w:p w:rsidR="00AD2572" w:rsidRPr="00B414AC" w:rsidRDefault="00AD2572" w:rsidP="00AD2572">
      <w:pPr>
        <w:jc w:val="both"/>
        <w:rPr>
          <w:rFonts w:ascii="Verdana" w:hAnsi="Verdana"/>
          <w:b/>
          <w:szCs w:val="20"/>
        </w:rPr>
      </w:pPr>
      <w:r w:rsidRPr="00B414AC">
        <w:rPr>
          <w:rFonts w:ascii="Verdana" w:hAnsi="Verdana"/>
          <w:b/>
          <w:szCs w:val="20"/>
        </w:rPr>
        <w:t>Klinisch beeld</w:t>
      </w:r>
    </w:p>
    <w:p w:rsidR="00AD2572" w:rsidRPr="00B414AC" w:rsidRDefault="00AD2572" w:rsidP="00AD2572">
      <w:pPr>
        <w:jc w:val="both"/>
        <w:rPr>
          <w:rFonts w:ascii="Verdana" w:hAnsi="Verdana"/>
          <w:szCs w:val="20"/>
        </w:rPr>
      </w:pPr>
      <w:r w:rsidRPr="00B414AC">
        <w:rPr>
          <w:rFonts w:ascii="Verdana" w:hAnsi="Verdana"/>
          <w:szCs w:val="20"/>
        </w:rPr>
        <w:t>Acute ingestie van grote hoeveelheden lood (grammen) kan abdominale pijn, anemie, toxische hepatitis en encefalopathie veroorzaken.</w:t>
      </w:r>
    </w:p>
    <w:p w:rsidR="00AD2572" w:rsidRPr="00B414AC" w:rsidRDefault="00AD2572" w:rsidP="00AD2572">
      <w:pPr>
        <w:jc w:val="both"/>
        <w:rPr>
          <w:rFonts w:ascii="Verdana" w:hAnsi="Verdana"/>
          <w:szCs w:val="20"/>
        </w:rPr>
      </w:pPr>
      <w:r w:rsidRPr="00B414AC">
        <w:rPr>
          <w:rFonts w:ascii="Verdana" w:hAnsi="Verdana"/>
          <w:szCs w:val="20"/>
        </w:rPr>
        <w:t>Bij subacute/chronische blootstelling worden de volgende verschijnselen waargenomen [1,3]</w:t>
      </w:r>
    </w:p>
    <w:p w:rsidR="00AD2572" w:rsidRPr="00B414AC" w:rsidRDefault="00AD2572" w:rsidP="00AD2572">
      <w:pPr>
        <w:numPr>
          <w:ilvl w:val="0"/>
          <w:numId w:val="28"/>
        </w:numPr>
        <w:jc w:val="both"/>
        <w:rPr>
          <w:rFonts w:ascii="Verdana" w:hAnsi="Verdana"/>
          <w:b/>
          <w:szCs w:val="20"/>
        </w:rPr>
      </w:pPr>
      <w:r w:rsidRPr="00B414AC">
        <w:rPr>
          <w:rFonts w:ascii="Verdana" w:hAnsi="Verdana"/>
          <w:i/>
          <w:szCs w:val="20"/>
        </w:rPr>
        <w:t>Algemeen</w:t>
      </w:r>
      <w:r w:rsidRPr="00B414AC">
        <w:rPr>
          <w:rFonts w:ascii="Verdana" w:hAnsi="Verdana"/>
          <w:szCs w:val="20"/>
        </w:rPr>
        <w:t>: moeheid, malaise, anorexie, slapeloosheid, hypertensie, gewichtsverlies, verminderd libido, gewrichtspijn en spierpijn.</w:t>
      </w:r>
    </w:p>
    <w:p w:rsidR="00AD2572" w:rsidRPr="00B414AC" w:rsidRDefault="00AD2572" w:rsidP="00AD2572">
      <w:pPr>
        <w:numPr>
          <w:ilvl w:val="0"/>
          <w:numId w:val="28"/>
        </w:numPr>
        <w:jc w:val="both"/>
        <w:rPr>
          <w:rFonts w:ascii="Verdana" w:hAnsi="Verdana"/>
          <w:b/>
          <w:szCs w:val="20"/>
        </w:rPr>
      </w:pPr>
      <w:r w:rsidRPr="00B414AC">
        <w:rPr>
          <w:rFonts w:ascii="Verdana" w:hAnsi="Verdana"/>
          <w:i/>
          <w:szCs w:val="20"/>
        </w:rPr>
        <w:t>Gastro-intestinaal</w:t>
      </w:r>
      <w:r w:rsidRPr="00B414AC">
        <w:rPr>
          <w:rFonts w:ascii="Verdana" w:hAnsi="Verdana"/>
          <w:szCs w:val="20"/>
        </w:rPr>
        <w:t>: krampende abdominale pijn (loodkoliek), misselijkheid, obstipatie en soms diarree, loodzomen.</w:t>
      </w:r>
    </w:p>
    <w:p w:rsidR="00AD2572" w:rsidRPr="00B414AC" w:rsidRDefault="00AD2572" w:rsidP="00AD2572">
      <w:pPr>
        <w:numPr>
          <w:ilvl w:val="0"/>
          <w:numId w:val="28"/>
        </w:numPr>
        <w:jc w:val="both"/>
        <w:rPr>
          <w:rFonts w:ascii="Verdana" w:hAnsi="Verdana"/>
          <w:szCs w:val="20"/>
        </w:rPr>
      </w:pPr>
      <w:r w:rsidRPr="00B414AC">
        <w:rPr>
          <w:rFonts w:ascii="Verdana" w:hAnsi="Verdana"/>
          <w:i/>
          <w:szCs w:val="20"/>
        </w:rPr>
        <w:t>Centraal zenuwstelsel</w:t>
      </w:r>
      <w:r w:rsidRPr="00B414AC">
        <w:rPr>
          <w:rFonts w:ascii="Verdana" w:hAnsi="Verdana"/>
          <w:szCs w:val="20"/>
        </w:rPr>
        <w:t xml:space="preserve">: verminderde concentratie, hoofdpijn, verminderde coördinatie, tremor en encefalopathie. </w:t>
      </w:r>
    </w:p>
    <w:p w:rsidR="00AD2572" w:rsidRPr="00B414AC" w:rsidRDefault="00AD2572" w:rsidP="00AD2572">
      <w:pPr>
        <w:numPr>
          <w:ilvl w:val="0"/>
          <w:numId w:val="28"/>
        </w:numPr>
        <w:jc w:val="both"/>
        <w:rPr>
          <w:rFonts w:ascii="Verdana" w:hAnsi="Verdana"/>
          <w:szCs w:val="20"/>
        </w:rPr>
      </w:pPr>
      <w:r w:rsidRPr="00B414AC">
        <w:rPr>
          <w:rFonts w:ascii="Verdana" w:hAnsi="Verdana"/>
          <w:i/>
          <w:szCs w:val="20"/>
        </w:rPr>
        <w:t>Perifere motorische neuropathie</w:t>
      </w:r>
      <w:r w:rsidRPr="00B414AC">
        <w:rPr>
          <w:rFonts w:ascii="Verdana" w:hAnsi="Verdana"/>
          <w:szCs w:val="20"/>
        </w:rPr>
        <w:t>: voornamelijk van de bovenste extremiteiten. Kan zeer ernstige spierzwakheid tot gevolg hebben.</w:t>
      </w:r>
    </w:p>
    <w:p w:rsidR="00AD2572" w:rsidRPr="00B414AC" w:rsidRDefault="00AD2572" w:rsidP="00AD2572">
      <w:pPr>
        <w:numPr>
          <w:ilvl w:val="0"/>
          <w:numId w:val="28"/>
        </w:numPr>
        <w:jc w:val="both"/>
        <w:rPr>
          <w:rFonts w:ascii="Verdana" w:hAnsi="Verdana"/>
          <w:szCs w:val="20"/>
        </w:rPr>
      </w:pPr>
      <w:r w:rsidRPr="00B414AC">
        <w:rPr>
          <w:rFonts w:ascii="Verdana" w:hAnsi="Verdana"/>
          <w:i/>
          <w:szCs w:val="20"/>
        </w:rPr>
        <w:t>Hematologisch</w:t>
      </w:r>
      <w:r w:rsidRPr="00B414AC">
        <w:rPr>
          <w:rFonts w:ascii="Verdana" w:hAnsi="Verdana"/>
          <w:szCs w:val="20"/>
        </w:rPr>
        <w:t>: normocytaire of microcytaire anemie, welke gepaard kan gaan met basofiele stippeling.</w:t>
      </w:r>
    </w:p>
    <w:p w:rsidR="00AD2572" w:rsidRPr="00B414AC" w:rsidRDefault="00AD2572" w:rsidP="00AD2572">
      <w:pPr>
        <w:numPr>
          <w:ilvl w:val="0"/>
          <w:numId w:val="28"/>
        </w:numPr>
        <w:jc w:val="both"/>
        <w:rPr>
          <w:rFonts w:ascii="Verdana" w:hAnsi="Verdana"/>
          <w:szCs w:val="20"/>
        </w:rPr>
      </w:pPr>
      <w:r w:rsidRPr="00B414AC">
        <w:rPr>
          <w:rFonts w:ascii="Verdana" w:hAnsi="Verdana"/>
          <w:i/>
          <w:szCs w:val="20"/>
        </w:rPr>
        <w:t>Nefrologisch</w:t>
      </w:r>
      <w:r w:rsidRPr="00B414AC">
        <w:rPr>
          <w:rFonts w:ascii="Verdana" w:hAnsi="Verdana"/>
          <w:szCs w:val="20"/>
        </w:rPr>
        <w:t>: reversibele acute tubulaire dysfunctie and chronische interstitiële fibrose. Hyperurikemie en jicht kunnen voorkomen.</w:t>
      </w:r>
    </w:p>
    <w:p w:rsidR="00AD2572" w:rsidRPr="00B414AC" w:rsidRDefault="00AD2572" w:rsidP="00AD2572">
      <w:pPr>
        <w:jc w:val="both"/>
        <w:rPr>
          <w:rFonts w:ascii="Verdana" w:hAnsi="Verdana"/>
          <w:szCs w:val="20"/>
        </w:rPr>
      </w:pPr>
    </w:p>
    <w:p w:rsidR="00AD2572" w:rsidRPr="00B414AC" w:rsidRDefault="00AD2572" w:rsidP="00AD2572">
      <w:pPr>
        <w:jc w:val="both"/>
        <w:rPr>
          <w:rFonts w:ascii="Verdana" w:hAnsi="Verdana"/>
          <w:szCs w:val="20"/>
        </w:rPr>
      </w:pPr>
      <w:r w:rsidRPr="00B414AC">
        <w:rPr>
          <w:rFonts w:ascii="Verdana" w:hAnsi="Verdana"/>
          <w:b/>
          <w:szCs w:val="20"/>
        </w:rPr>
        <w:t>Spiegelbepaling</w:t>
      </w:r>
    </w:p>
    <w:p w:rsidR="00AD2572" w:rsidRPr="00B414AC" w:rsidRDefault="00AD2572" w:rsidP="00AD2572">
      <w:pPr>
        <w:autoSpaceDE w:val="0"/>
        <w:autoSpaceDN w:val="0"/>
        <w:adjustRightInd w:val="0"/>
        <w:jc w:val="both"/>
        <w:rPr>
          <w:rFonts w:ascii="Verdana" w:hAnsi="Verdana"/>
        </w:rPr>
      </w:pPr>
      <w:r w:rsidRPr="00B414AC">
        <w:rPr>
          <w:rFonts w:ascii="Verdana" w:hAnsi="Verdana"/>
          <w:szCs w:val="20"/>
        </w:rPr>
        <w:t xml:space="preserve">Om blootstelling aan lood aan te tonen wordt in de regel de loodconcentratie in volbloed gemeten. </w:t>
      </w:r>
      <w:r w:rsidRPr="00B414AC">
        <w:rPr>
          <w:rFonts w:ascii="Verdana" w:hAnsi="Verdana" w:cs="HelveticaNeue-Roman"/>
          <w:color w:val="1F1410"/>
          <w:szCs w:val="20"/>
          <w:lang w:eastAsia="nl-NL"/>
        </w:rPr>
        <w:t>Voor de afname zijn naalden en buisjes nodig die zelf geen lood bevatten.</w:t>
      </w:r>
      <w:r w:rsidRPr="00B414AC">
        <w:rPr>
          <w:rFonts w:ascii="Verdana" w:hAnsi="Verdana" w:cs="HelveticaNeue-Roman"/>
          <w:color w:val="1F1410"/>
          <w:sz w:val="19"/>
          <w:szCs w:val="19"/>
          <w:lang w:eastAsia="nl-NL"/>
        </w:rPr>
        <w:t xml:space="preserve"> </w:t>
      </w:r>
      <w:r w:rsidRPr="00B414AC">
        <w:rPr>
          <w:rFonts w:ascii="Verdana" w:hAnsi="Verdana"/>
        </w:rPr>
        <w:t xml:space="preserve">De loodwaarde in het bloed geeft geen informatie over de loodbelasting van de andere compartimenten, weefsels en bot. [1,6] </w:t>
      </w:r>
    </w:p>
    <w:p w:rsidR="00AD2572" w:rsidRPr="00B414AC" w:rsidRDefault="00AD2572" w:rsidP="00AD2572">
      <w:pPr>
        <w:ind w:left="360"/>
        <w:jc w:val="both"/>
        <w:rPr>
          <w:rFonts w:ascii="Verdana" w:hAnsi="Verdana"/>
          <w:szCs w:val="2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5"/>
        <w:gridCol w:w="2163"/>
        <w:gridCol w:w="4968"/>
      </w:tblGrid>
      <w:tr w:rsidR="00AD2572" w:rsidRPr="00B414AC" w:rsidTr="00AD2572">
        <w:tc>
          <w:tcPr>
            <w:tcW w:w="1725" w:type="dxa"/>
            <w:shd w:val="solid" w:color="auto" w:fill="auto"/>
          </w:tcPr>
          <w:p w:rsidR="00AD2572" w:rsidRPr="00B414AC" w:rsidRDefault="00AD2572" w:rsidP="00AD2572">
            <w:pPr>
              <w:autoSpaceDE w:val="0"/>
              <w:autoSpaceDN w:val="0"/>
              <w:adjustRightInd w:val="0"/>
              <w:jc w:val="both"/>
              <w:rPr>
                <w:rFonts w:ascii="Verdana" w:hAnsi="Verdana"/>
              </w:rPr>
            </w:pPr>
            <w:r w:rsidRPr="00B414AC">
              <w:rPr>
                <w:rFonts w:ascii="Verdana" w:hAnsi="Verdana"/>
              </w:rPr>
              <w:t>Bloedloodconc.</w:t>
            </w:r>
          </w:p>
          <w:p w:rsidR="00AD2572" w:rsidRPr="00B414AC" w:rsidRDefault="00AD2572" w:rsidP="00AD2572">
            <w:pPr>
              <w:autoSpaceDE w:val="0"/>
              <w:autoSpaceDN w:val="0"/>
              <w:adjustRightInd w:val="0"/>
              <w:jc w:val="both"/>
              <w:rPr>
                <w:rFonts w:ascii="Verdana" w:hAnsi="Verdana"/>
              </w:rPr>
            </w:pPr>
            <w:r w:rsidRPr="00B414AC">
              <w:rPr>
                <w:rFonts w:ascii="Verdana" w:hAnsi="Verdana"/>
              </w:rPr>
              <w:t>(µg/l)</w:t>
            </w:r>
          </w:p>
        </w:tc>
        <w:tc>
          <w:tcPr>
            <w:tcW w:w="2211" w:type="dxa"/>
            <w:shd w:val="solid" w:color="auto" w:fill="auto"/>
          </w:tcPr>
          <w:p w:rsidR="00AD2572" w:rsidRPr="00B414AC" w:rsidRDefault="00AD2572" w:rsidP="00AD2572">
            <w:pPr>
              <w:autoSpaceDE w:val="0"/>
              <w:autoSpaceDN w:val="0"/>
              <w:adjustRightInd w:val="0"/>
              <w:jc w:val="both"/>
              <w:rPr>
                <w:rFonts w:ascii="Verdana" w:hAnsi="Verdana"/>
              </w:rPr>
            </w:pPr>
            <w:r w:rsidRPr="00B414AC">
              <w:rPr>
                <w:rFonts w:ascii="Verdana" w:hAnsi="Verdana"/>
              </w:rPr>
              <w:t>Bloedloodconc.</w:t>
            </w:r>
          </w:p>
          <w:p w:rsidR="00AD2572" w:rsidRPr="00B414AC" w:rsidRDefault="00AD2572" w:rsidP="00AD2572">
            <w:pPr>
              <w:autoSpaceDE w:val="0"/>
              <w:autoSpaceDN w:val="0"/>
              <w:adjustRightInd w:val="0"/>
              <w:jc w:val="both"/>
              <w:rPr>
                <w:rFonts w:ascii="Verdana" w:hAnsi="Verdana"/>
              </w:rPr>
            </w:pPr>
            <w:r w:rsidRPr="00B414AC">
              <w:rPr>
                <w:rFonts w:ascii="Verdana" w:hAnsi="Verdana"/>
              </w:rPr>
              <w:t>(µmol/l)</w:t>
            </w:r>
          </w:p>
        </w:tc>
        <w:tc>
          <w:tcPr>
            <w:tcW w:w="5276" w:type="dxa"/>
            <w:shd w:val="solid" w:color="auto" w:fill="auto"/>
          </w:tcPr>
          <w:p w:rsidR="00AD2572" w:rsidRPr="00B414AC" w:rsidRDefault="00AD2572" w:rsidP="00AD2572">
            <w:pPr>
              <w:autoSpaceDE w:val="0"/>
              <w:autoSpaceDN w:val="0"/>
              <w:adjustRightInd w:val="0"/>
              <w:jc w:val="both"/>
              <w:rPr>
                <w:rFonts w:ascii="Verdana" w:hAnsi="Verdana"/>
              </w:rPr>
            </w:pPr>
            <w:r w:rsidRPr="00B414AC">
              <w:rPr>
                <w:rFonts w:ascii="Verdana" w:hAnsi="Verdana"/>
              </w:rPr>
              <w:t>Symptomen</w:t>
            </w:r>
          </w:p>
        </w:tc>
      </w:tr>
      <w:tr w:rsidR="00AD2572" w:rsidRPr="00B414AC" w:rsidTr="00AD2572">
        <w:tc>
          <w:tcPr>
            <w:tcW w:w="1725"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&lt; 50 µg/l</w:t>
            </w:r>
          </w:p>
        </w:tc>
        <w:tc>
          <w:tcPr>
            <w:tcW w:w="2211"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&lt; 0,24 µmol/l</w:t>
            </w:r>
          </w:p>
        </w:tc>
        <w:tc>
          <w:tcPr>
            <w:tcW w:w="5276"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w:t>
            </w:r>
          </w:p>
        </w:tc>
      </w:tr>
      <w:tr w:rsidR="00AD2572" w:rsidRPr="00B414AC" w:rsidTr="00AD2572">
        <w:tc>
          <w:tcPr>
            <w:tcW w:w="1725"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50 – 250 µg/l</w:t>
            </w:r>
          </w:p>
        </w:tc>
        <w:tc>
          <w:tcPr>
            <w:tcW w:w="2211"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0,24 – 1,21 µmol/l</w:t>
            </w:r>
          </w:p>
        </w:tc>
        <w:tc>
          <w:tcPr>
            <w:tcW w:w="5276" w:type="dxa"/>
          </w:tcPr>
          <w:p w:rsidR="00AD2572" w:rsidRPr="00B414AC" w:rsidRDefault="00AD2572" w:rsidP="00AD2572">
            <w:pPr>
              <w:autoSpaceDE w:val="0"/>
              <w:autoSpaceDN w:val="0"/>
              <w:adjustRightInd w:val="0"/>
              <w:rPr>
                <w:rFonts w:ascii="Verdana" w:hAnsi="Verdana"/>
              </w:rPr>
            </w:pPr>
            <w:r w:rsidRPr="00B414AC">
              <w:rPr>
                <w:rFonts w:ascii="Verdana" w:hAnsi="Verdana"/>
              </w:rPr>
              <w:t>Kinderen: lager IQ, verminderde fijne motoriek, gedragsstoornissen</w:t>
            </w:r>
          </w:p>
          <w:p w:rsidR="00AD2572" w:rsidRPr="00B414AC" w:rsidRDefault="00AD2572" w:rsidP="00AD2572">
            <w:pPr>
              <w:autoSpaceDE w:val="0"/>
              <w:autoSpaceDN w:val="0"/>
              <w:adjustRightInd w:val="0"/>
              <w:rPr>
                <w:rFonts w:ascii="Verdana" w:hAnsi="Verdana"/>
              </w:rPr>
            </w:pPr>
            <w:r w:rsidRPr="00B414AC">
              <w:rPr>
                <w:rFonts w:ascii="Verdana" w:hAnsi="Verdana"/>
              </w:rPr>
              <w:t>Volwassenen: risico op hypertensie</w:t>
            </w:r>
          </w:p>
        </w:tc>
      </w:tr>
      <w:tr w:rsidR="00AD2572" w:rsidRPr="00B414AC" w:rsidTr="00AD2572">
        <w:tc>
          <w:tcPr>
            <w:tcW w:w="1725"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250 – 600 µg/l</w:t>
            </w:r>
          </w:p>
        </w:tc>
        <w:tc>
          <w:tcPr>
            <w:tcW w:w="2211"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1,21 – 2,90 µmol/l</w:t>
            </w:r>
          </w:p>
        </w:tc>
        <w:tc>
          <w:tcPr>
            <w:tcW w:w="5276" w:type="dxa"/>
          </w:tcPr>
          <w:p w:rsidR="00AD2572" w:rsidRPr="00B414AC" w:rsidRDefault="00AD2572" w:rsidP="00AD2572">
            <w:pPr>
              <w:autoSpaceDE w:val="0"/>
              <w:autoSpaceDN w:val="0"/>
              <w:adjustRightInd w:val="0"/>
              <w:rPr>
                <w:rFonts w:ascii="Verdana" w:hAnsi="Verdana"/>
              </w:rPr>
            </w:pPr>
            <w:r w:rsidRPr="00B414AC">
              <w:rPr>
                <w:rFonts w:ascii="Verdana" w:hAnsi="Verdana"/>
              </w:rPr>
              <w:t>hoofdpijn, prikkelbaarheid, verminderde concentratie, traagheid, anemie</w:t>
            </w:r>
          </w:p>
        </w:tc>
      </w:tr>
      <w:tr w:rsidR="00AD2572" w:rsidRPr="00B414AC" w:rsidTr="00AD2572">
        <w:tc>
          <w:tcPr>
            <w:tcW w:w="1725"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600 – 800 µg/l</w:t>
            </w:r>
          </w:p>
        </w:tc>
        <w:tc>
          <w:tcPr>
            <w:tcW w:w="2211"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2,90 – 3,86 µmol/l</w:t>
            </w:r>
          </w:p>
        </w:tc>
        <w:tc>
          <w:tcPr>
            <w:tcW w:w="5276" w:type="dxa"/>
          </w:tcPr>
          <w:p w:rsidR="00AD2572" w:rsidRPr="00B414AC" w:rsidRDefault="00AD2572" w:rsidP="00AD2572">
            <w:pPr>
              <w:autoSpaceDE w:val="0"/>
              <w:autoSpaceDN w:val="0"/>
              <w:adjustRightInd w:val="0"/>
              <w:rPr>
                <w:rFonts w:ascii="Verdana" w:hAnsi="Verdana"/>
              </w:rPr>
            </w:pPr>
            <w:r w:rsidRPr="00B414AC">
              <w:rPr>
                <w:rFonts w:ascii="Verdana" w:hAnsi="Verdana"/>
              </w:rPr>
              <w:t xml:space="preserve">gastro-intestinale symptomen en verminderde </w:t>
            </w:r>
            <w:r w:rsidRPr="00B414AC">
              <w:rPr>
                <w:rFonts w:ascii="Verdana" w:hAnsi="Verdana"/>
              </w:rPr>
              <w:lastRenderedPageBreak/>
              <w:t xml:space="preserve">nierfunctie </w:t>
            </w:r>
          </w:p>
        </w:tc>
      </w:tr>
      <w:tr w:rsidR="00AD2572" w:rsidRPr="00B414AC" w:rsidTr="00AD2572">
        <w:tc>
          <w:tcPr>
            <w:tcW w:w="1725"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lastRenderedPageBreak/>
              <w:t>&gt;800 µg/l</w:t>
            </w:r>
          </w:p>
        </w:tc>
        <w:tc>
          <w:tcPr>
            <w:tcW w:w="2211"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3,86 µmol/l</w:t>
            </w:r>
          </w:p>
        </w:tc>
        <w:tc>
          <w:tcPr>
            <w:tcW w:w="5276" w:type="dxa"/>
          </w:tcPr>
          <w:p w:rsidR="00AD2572" w:rsidRPr="00B414AC" w:rsidRDefault="00AD2572" w:rsidP="00AD2572">
            <w:pPr>
              <w:autoSpaceDE w:val="0"/>
              <w:autoSpaceDN w:val="0"/>
              <w:adjustRightInd w:val="0"/>
              <w:rPr>
                <w:rFonts w:ascii="Verdana" w:hAnsi="Verdana"/>
              </w:rPr>
            </w:pPr>
            <w:r w:rsidRPr="00B414AC">
              <w:rPr>
                <w:rFonts w:ascii="Verdana" w:hAnsi="Verdana"/>
              </w:rPr>
              <w:t>abdominale pijn (loodkoliek) en nefropathie</w:t>
            </w:r>
          </w:p>
        </w:tc>
      </w:tr>
      <w:tr w:rsidR="00AD2572" w:rsidRPr="00B414AC" w:rsidTr="00AD2572">
        <w:tc>
          <w:tcPr>
            <w:tcW w:w="1725"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&gt;1000 µg/l</w:t>
            </w:r>
          </w:p>
        </w:tc>
        <w:tc>
          <w:tcPr>
            <w:tcW w:w="2211" w:type="dxa"/>
          </w:tcPr>
          <w:p w:rsidR="00AD2572" w:rsidRPr="00B414AC" w:rsidRDefault="00AD2572" w:rsidP="00AD2572">
            <w:pPr>
              <w:autoSpaceDE w:val="0"/>
              <w:autoSpaceDN w:val="0"/>
              <w:adjustRightInd w:val="0"/>
              <w:jc w:val="both"/>
              <w:rPr>
                <w:rFonts w:ascii="Verdana" w:hAnsi="Verdana"/>
              </w:rPr>
            </w:pPr>
            <w:r w:rsidRPr="00B414AC">
              <w:rPr>
                <w:rFonts w:ascii="Verdana" w:hAnsi="Verdana"/>
              </w:rPr>
              <w:t>4,83 µmol/l</w:t>
            </w:r>
          </w:p>
        </w:tc>
        <w:tc>
          <w:tcPr>
            <w:tcW w:w="5276" w:type="dxa"/>
          </w:tcPr>
          <w:p w:rsidR="00AD2572" w:rsidRPr="00B414AC" w:rsidRDefault="00AD2572" w:rsidP="00AD2572">
            <w:pPr>
              <w:autoSpaceDE w:val="0"/>
              <w:autoSpaceDN w:val="0"/>
              <w:adjustRightInd w:val="0"/>
              <w:rPr>
                <w:rFonts w:ascii="Verdana" w:hAnsi="Verdana"/>
              </w:rPr>
            </w:pPr>
            <w:r w:rsidRPr="00B414AC">
              <w:rPr>
                <w:rFonts w:ascii="Verdana" w:hAnsi="Verdana"/>
              </w:rPr>
              <w:t>encefalopathie, neuropathie</w:t>
            </w:r>
          </w:p>
        </w:tc>
      </w:tr>
    </w:tbl>
    <w:p w:rsidR="00AD2572" w:rsidRPr="00B414AC" w:rsidRDefault="00AD2572" w:rsidP="00AD2572">
      <w:pPr>
        <w:ind w:left="360"/>
        <w:jc w:val="both"/>
        <w:rPr>
          <w:rFonts w:ascii="Verdana" w:hAnsi="Verdana"/>
          <w:sz w:val="16"/>
        </w:rPr>
      </w:pPr>
      <w:r w:rsidRPr="00B414AC">
        <w:rPr>
          <w:rFonts w:ascii="Verdana" w:hAnsi="Verdana"/>
          <w:sz w:val="16"/>
        </w:rPr>
        <w:t>Tabel 1: symptomen van loodintoxicatie bij verschillende bloedspiegels. [3,5]</w:t>
      </w:r>
    </w:p>
    <w:p w:rsidR="00AD2572" w:rsidRPr="00B414AC" w:rsidRDefault="00AD2572" w:rsidP="00AD2572">
      <w:pPr>
        <w:ind w:left="360"/>
        <w:jc w:val="both"/>
        <w:rPr>
          <w:rFonts w:ascii="Verdana" w:hAnsi="Verdana"/>
          <w:szCs w:val="20"/>
          <w:u w:val="single"/>
        </w:rPr>
      </w:pPr>
    </w:p>
    <w:p w:rsidR="00AD2572" w:rsidRPr="00B414AC" w:rsidRDefault="00AD2572" w:rsidP="00AD2572">
      <w:pPr>
        <w:autoSpaceDE w:val="0"/>
        <w:autoSpaceDN w:val="0"/>
        <w:adjustRightInd w:val="0"/>
        <w:rPr>
          <w:rFonts w:ascii="Verdana" w:hAnsi="Verdana"/>
          <w:szCs w:val="20"/>
        </w:rPr>
      </w:pPr>
      <w:r w:rsidRPr="00B414AC">
        <w:rPr>
          <w:rFonts w:ascii="Verdana" w:hAnsi="Verdana"/>
          <w:b/>
          <w:szCs w:val="20"/>
        </w:rPr>
        <w:t>Overige diagnostiek</w:t>
      </w:r>
      <w:r w:rsidRPr="00B414AC">
        <w:rPr>
          <w:rFonts w:ascii="Verdana" w:hAnsi="Verdana"/>
          <w:szCs w:val="20"/>
        </w:rPr>
        <w:t xml:space="preserve"> [1,6]</w:t>
      </w:r>
    </w:p>
    <w:p w:rsidR="00AD2572" w:rsidRPr="00B414AC" w:rsidRDefault="00AD2572" w:rsidP="00AD2572">
      <w:pPr>
        <w:numPr>
          <w:ilvl w:val="0"/>
          <w:numId w:val="28"/>
        </w:numPr>
        <w:jc w:val="both"/>
        <w:rPr>
          <w:rFonts w:ascii="Verdana" w:hAnsi="Verdana"/>
          <w:szCs w:val="20"/>
        </w:rPr>
      </w:pPr>
      <w:r w:rsidRPr="00B414AC">
        <w:rPr>
          <w:rFonts w:ascii="Verdana" w:hAnsi="Verdana"/>
          <w:szCs w:val="20"/>
        </w:rPr>
        <w:t xml:space="preserve">Röntgenonderzoek kan zinvol zijn na recente ingestie van lood waarbij op de buikoverzichtsopname de aanwezigheid van lood in het maag-darmkanaal kan worden aangetoond. </w:t>
      </w:r>
    </w:p>
    <w:p w:rsidR="00AD2572" w:rsidRPr="00B414AC" w:rsidRDefault="00AD2572" w:rsidP="00AD2572">
      <w:pPr>
        <w:numPr>
          <w:ilvl w:val="0"/>
          <w:numId w:val="28"/>
        </w:numPr>
        <w:jc w:val="both"/>
        <w:rPr>
          <w:rFonts w:ascii="Verdana" w:hAnsi="Verdana"/>
          <w:szCs w:val="20"/>
        </w:rPr>
      </w:pPr>
      <w:r w:rsidRPr="00B414AC">
        <w:rPr>
          <w:rFonts w:ascii="Verdana" w:hAnsi="Verdana"/>
          <w:szCs w:val="20"/>
        </w:rPr>
        <w:t>Na langdurige blootstelling kunnen op een röntgenfoto van de knie of pols zogenaamde loodlijntjes te zien zijn.</w:t>
      </w:r>
    </w:p>
    <w:p w:rsidR="00AD2572" w:rsidRPr="00B414AC" w:rsidRDefault="00AD2572" w:rsidP="00AD2572">
      <w:pPr>
        <w:numPr>
          <w:ilvl w:val="0"/>
          <w:numId w:val="28"/>
        </w:numPr>
        <w:jc w:val="both"/>
        <w:rPr>
          <w:rFonts w:ascii="Verdana" w:hAnsi="Verdana"/>
          <w:szCs w:val="20"/>
          <w:lang w:val="en-US"/>
        </w:rPr>
      </w:pPr>
      <w:r w:rsidRPr="00B414AC">
        <w:rPr>
          <w:rFonts w:ascii="Verdana" w:hAnsi="Verdana"/>
          <w:szCs w:val="20"/>
          <w:lang w:val="en-US"/>
        </w:rPr>
        <w:t>Lab: creatinine, handdifferentiatie leucocyten, eiwit/creat ratio urine, albumine/creat ratio urine.</w:t>
      </w:r>
    </w:p>
    <w:p w:rsidR="00AD2572" w:rsidRPr="00B414AC" w:rsidRDefault="00AD2572" w:rsidP="00AD2572">
      <w:pPr>
        <w:numPr>
          <w:ilvl w:val="0"/>
          <w:numId w:val="28"/>
        </w:numPr>
        <w:jc w:val="both"/>
        <w:rPr>
          <w:rFonts w:ascii="Verdana" w:hAnsi="Verdana"/>
        </w:rPr>
      </w:pPr>
      <w:r w:rsidRPr="00B414AC">
        <w:rPr>
          <w:rFonts w:ascii="Verdana" w:hAnsi="Verdana"/>
        </w:rPr>
        <w:t xml:space="preserve">Vrij erytrocytair protoporfyrine (FEP): hiermee kan worden aangetoond of er sprake is van een chronische blootstelling aan lood of een blootstelling van enkele weken. Wanneer bij een verhoogde bloedloodconcentratie een niet verhoogd FEP wordt gemeten, duidt dit op een recente blootstelling. De correlatie tussen FEP-concentratie en een lage loodconcentratie (&lt;250 microg/L) in het bloed zwak is. </w:t>
      </w:r>
    </w:p>
    <w:p w:rsidR="00AD2572" w:rsidRPr="00B414AC" w:rsidRDefault="00AD2572" w:rsidP="00AD2572">
      <w:pPr>
        <w:jc w:val="both"/>
        <w:rPr>
          <w:rFonts w:ascii="Verdana" w:hAnsi="Verdana"/>
          <w:b/>
          <w:szCs w:val="20"/>
        </w:rPr>
      </w:pPr>
    </w:p>
    <w:p w:rsidR="00AD2572" w:rsidRPr="00B414AC" w:rsidRDefault="00AD2572" w:rsidP="00AD2572">
      <w:pPr>
        <w:jc w:val="both"/>
        <w:rPr>
          <w:rFonts w:ascii="Verdana" w:hAnsi="Verdana"/>
          <w:b/>
          <w:szCs w:val="20"/>
        </w:rPr>
      </w:pPr>
      <w:r w:rsidRPr="00B414AC">
        <w:rPr>
          <w:rFonts w:ascii="Verdana" w:hAnsi="Verdana"/>
          <w:b/>
          <w:szCs w:val="20"/>
        </w:rPr>
        <w:t>Therapie</w:t>
      </w:r>
    </w:p>
    <w:p w:rsidR="00AD2572" w:rsidRPr="00B414AC" w:rsidRDefault="00AD2572" w:rsidP="00AD2572">
      <w:pPr>
        <w:jc w:val="both"/>
        <w:rPr>
          <w:rFonts w:ascii="Verdana" w:hAnsi="Verdana"/>
          <w:szCs w:val="20"/>
        </w:rPr>
      </w:pPr>
      <w:r w:rsidRPr="00B414AC">
        <w:rPr>
          <w:rFonts w:ascii="Verdana" w:hAnsi="Verdana"/>
          <w:szCs w:val="20"/>
        </w:rPr>
        <w:t xml:space="preserve">De primaire maatregel bij een mogelijke intoxicatie door lood is het opheffen van de expositie. </w:t>
      </w:r>
    </w:p>
    <w:p w:rsidR="00AD2572" w:rsidRPr="00B414AC" w:rsidRDefault="00AD2572" w:rsidP="00AD2572">
      <w:pPr>
        <w:numPr>
          <w:ilvl w:val="0"/>
          <w:numId w:val="28"/>
        </w:numPr>
        <w:jc w:val="both"/>
        <w:rPr>
          <w:rFonts w:ascii="Verdana" w:hAnsi="Verdana"/>
          <w:i/>
          <w:szCs w:val="20"/>
        </w:rPr>
      </w:pPr>
      <w:r w:rsidRPr="00B414AC">
        <w:rPr>
          <w:rFonts w:ascii="Verdana" w:hAnsi="Verdana"/>
          <w:i/>
          <w:szCs w:val="20"/>
        </w:rPr>
        <w:t>Absorptie vermindering</w:t>
      </w:r>
    </w:p>
    <w:p w:rsidR="00AD2572" w:rsidRPr="00B414AC" w:rsidRDefault="00AD2572" w:rsidP="00AD2572">
      <w:pPr>
        <w:jc w:val="both"/>
        <w:rPr>
          <w:rFonts w:ascii="Verdana" w:hAnsi="Verdana"/>
          <w:szCs w:val="20"/>
        </w:rPr>
      </w:pPr>
      <w:r w:rsidRPr="00B414AC">
        <w:rPr>
          <w:rFonts w:ascii="Verdana" w:hAnsi="Verdana"/>
          <w:szCs w:val="20"/>
        </w:rPr>
        <w:t>Wanneer kort ge</w:t>
      </w:r>
      <w:smartTag w:uri="urn:schemas-microsoft-com:office:smarttags" w:element="PersonName">
        <w:r w:rsidRPr="00B414AC">
          <w:rPr>
            <w:rFonts w:ascii="Verdana" w:hAnsi="Verdana"/>
            <w:szCs w:val="20"/>
          </w:rPr>
          <w:t>leden</w:t>
        </w:r>
      </w:smartTag>
      <w:r w:rsidRPr="00B414AC">
        <w:rPr>
          <w:rFonts w:ascii="Verdana" w:hAnsi="Verdana"/>
          <w:szCs w:val="20"/>
        </w:rPr>
        <w:t xml:space="preserve"> lood is ingenomen kan men maagspoelen of eventueel darmlavage overwegen. Toedienen van geactiveerde kool is niet zinvol aangezien lood niet goed aan geactiveerde kool bindt. [1,6]</w:t>
      </w:r>
    </w:p>
    <w:p w:rsidR="00AD2572" w:rsidRPr="00B414AC" w:rsidRDefault="00AD2572" w:rsidP="00AD2572">
      <w:pPr>
        <w:numPr>
          <w:ilvl w:val="0"/>
          <w:numId w:val="28"/>
        </w:numPr>
        <w:jc w:val="both"/>
        <w:rPr>
          <w:rFonts w:ascii="Verdana" w:hAnsi="Verdana"/>
          <w:i/>
          <w:szCs w:val="20"/>
        </w:rPr>
      </w:pPr>
      <w:r w:rsidRPr="00B414AC">
        <w:rPr>
          <w:rFonts w:ascii="Verdana" w:hAnsi="Verdana"/>
          <w:i/>
          <w:szCs w:val="20"/>
        </w:rPr>
        <w:t>Eliminatieversnelling</w:t>
      </w:r>
    </w:p>
    <w:p w:rsidR="00AD2572" w:rsidRPr="00B414AC" w:rsidRDefault="00AD2572" w:rsidP="00AD2572">
      <w:pPr>
        <w:jc w:val="both"/>
        <w:rPr>
          <w:rFonts w:ascii="Verdana" w:hAnsi="Verdana"/>
          <w:szCs w:val="20"/>
        </w:rPr>
      </w:pPr>
      <w:r w:rsidRPr="00B414AC">
        <w:rPr>
          <w:rFonts w:ascii="Verdana" w:hAnsi="Verdana"/>
          <w:szCs w:val="20"/>
        </w:rPr>
        <w:t xml:space="preserve">Chelatietherapie moet worden overwogen wanneer ernstige symptomen aanwezig zijn en/of de loodconcentratie hoog is. In de literatuur worden verschillende waarden aangehouden vanaf wanneer chelatietherapie ingezet kan worden. </w:t>
      </w:r>
      <w:r w:rsidRPr="00B414AC">
        <w:rPr>
          <w:rFonts w:ascii="Verdana" w:hAnsi="Verdana"/>
        </w:rPr>
        <w:t>Voor volwassen is dit bij spiegels boven de 500 – 800</w:t>
      </w:r>
      <w:r w:rsidRPr="00B414AC">
        <w:rPr>
          <w:rFonts w:ascii="Verdana" w:hAnsi="Verdana"/>
          <w:szCs w:val="20"/>
        </w:rPr>
        <w:t xml:space="preserve"> </w:t>
      </w:r>
      <w:r w:rsidRPr="00B414AC">
        <w:rPr>
          <w:rFonts w:ascii="Verdana" w:hAnsi="Verdana"/>
        </w:rPr>
        <w:t>µg/l</w:t>
      </w:r>
      <w:r w:rsidRPr="00B414AC">
        <w:rPr>
          <w:rFonts w:ascii="Verdana" w:hAnsi="Verdana"/>
          <w:szCs w:val="20"/>
        </w:rPr>
        <w:t xml:space="preserve">  en voor kinderen bij spiegels &gt; 450 </w:t>
      </w:r>
      <w:r w:rsidRPr="00B414AC">
        <w:rPr>
          <w:rFonts w:ascii="Verdana" w:hAnsi="Verdana"/>
        </w:rPr>
        <w:t>µg/l.</w:t>
      </w:r>
      <w:r w:rsidRPr="00B414AC">
        <w:rPr>
          <w:rFonts w:ascii="Verdana" w:hAnsi="Verdana"/>
          <w:szCs w:val="20"/>
        </w:rPr>
        <w:t xml:space="preserve"> [2,3,8] </w:t>
      </w:r>
    </w:p>
    <w:p w:rsidR="00AD2572" w:rsidRPr="00B414AC" w:rsidRDefault="00AD2572" w:rsidP="00AD2572">
      <w:pPr>
        <w:jc w:val="both"/>
        <w:rPr>
          <w:rFonts w:ascii="Verdana" w:hAnsi="Verdana"/>
          <w:szCs w:val="20"/>
        </w:rPr>
      </w:pPr>
      <w:r w:rsidRPr="00B414AC">
        <w:rPr>
          <w:rFonts w:ascii="Verdana" w:hAnsi="Verdana"/>
          <w:szCs w:val="20"/>
        </w:rPr>
        <w:t>Chelatoren zijn organische verbindingen die met metalen stabiele wateroplosbare complexen kunnen vormen. De complexen, ook wel chelaten genoemd, worden vervolgens via de urine uitgescheiden. [1] Voor gedetailleerde informatie over de geneesmiddelen zie bijlage I.</w:t>
      </w:r>
    </w:p>
    <w:p w:rsidR="00AD2572" w:rsidRPr="00B414AC" w:rsidRDefault="00AD2572" w:rsidP="00AD2572">
      <w:pPr>
        <w:jc w:val="both"/>
        <w:rPr>
          <w:rFonts w:ascii="Verdana" w:hAnsi="Verdana"/>
          <w:szCs w:val="20"/>
        </w:rPr>
      </w:pPr>
    </w:p>
    <w:p w:rsidR="00AD2572" w:rsidRPr="00B414AC" w:rsidRDefault="00AD2572" w:rsidP="00AD2572">
      <w:pPr>
        <w:jc w:val="both"/>
        <w:rPr>
          <w:rFonts w:ascii="Verdana" w:hAnsi="Verdana"/>
          <w:szCs w:val="20"/>
        </w:rPr>
      </w:pPr>
      <w:r w:rsidRPr="00B414AC">
        <w:rPr>
          <w:rFonts w:ascii="Verdana" w:hAnsi="Verdana"/>
          <w:szCs w:val="20"/>
        </w:rPr>
        <w:t>De literatuur is niet eenduidig over de precieze behandeling van loodintoxicatie. De keuze van de chelator is afhankelijk van het klinisch beeld en van de beschikbaarheid van de chelator. Ook spelen de bijwerkingen en de toedieningsroute een belangrijke rol bij de keuzen. De hieronder beschreven behandelopties en doseringen zijn een samenvatting van de informatie uit toxicologieboeken en enkele artikelen.</w:t>
      </w:r>
    </w:p>
    <w:p w:rsidR="00AD2572" w:rsidRPr="00B414AC" w:rsidRDefault="00AD2572" w:rsidP="00AD2572">
      <w:pPr>
        <w:jc w:val="both"/>
        <w:rPr>
          <w:rFonts w:ascii="Verdana" w:hAnsi="Verdana"/>
          <w:b/>
          <w:szCs w:val="20"/>
        </w:rPr>
      </w:pPr>
    </w:p>
    <w:p w:rsidR="00AD2572" w:rsidRPr="00B414AC" w:rsidRDefault="00AD2572" w:rsidP="00AD2572">
      <w:pPr>
        <w:jc w:val="both"/>
        <w:rPr>
          <w:rFonts w:ascii="Verdana" w:hAnsi="Verdana"/>
          <w:u w:val="single"/>
        </w:rPr>
      </w:pPr>
      <w:r w:rsidRPr="00B414AC">
        <w:rPr>
          <w:rFonts w:ascii="Verdana" w:hAnsi="Verdana"/>
          <w:u w:val="single"/>
        </w:rPr>
        <w:t xml:space="preserve">Ernstige symptomen en/of loodencefalopathie </w:t>
      </w:r>
    </w:p>
    <w:p w:rsidR="00AD2572" w:rsidRPr="00B414AC" w:rsidRDefault="00AD2572" w:rsidP="00AD2572">
      <w:pPr>
        <w:numPr>
          <w:ilvl w:val="0"/>
          <w:numId w:val="29"/>
        </w:numPr>
        <w:jc w:val="both"/>
        <w:rPr>
          <w:rFonts w:ascii="Verdana" w:hAnsi="Verdana"/>
        </w:rPr>
      </w:pPr>
      <w:r w:rsidRPr="00B414AC">
        <w:rPr>
          <w:rFonts w:ascii="Verdana" w:hAnsi="Verdana"/>
        </w:rPr>
        <w:lastRenderedPageBreak/>
        <w:t>Unithiol of CaNa2 EDTA  in combinatie met dimercaprol [6,7]</w:t>
      </w:r>
    </w:p>
    <w:p w:rsidR="00AD2572" w:rsidRPr="00B414AC" w:rsidRDefault="00AD2572" w:rsidP="00AD2572">
      <w:pPr>
        <w:jc w:val="both"/>
        <w:rPr>
          <w:rFonts w:ascii="Verdana" w:hAnsi="Verdana"/>
        </w:rPr>
      </w:pPr>
      <w:r w:rsidRPr="00B414AC">
        <w:rPr>
          <w:rFonts w:ascii="Verdana" w:hAnsi="Verdana"/>
        </w:rPr>
        <w:t>Unithiol: volwassenen (intraveneus) dag 1: 250 mg elke 3-4 uur. Dag 2: 250 mg elke 4-6 uur. Dag 3: 250 mg elke 6-</w:t>
      </w:r>
      <w:r w:rsidRPr="00B414AC">
        <w:rPr>
          <w:rFonts w:ascii="Verdana" w:hAnsi="Verdana"/>
          <w:szCs w:val="20"/>
        </w:rPr>
        <w:t>8 uur. Dag 4: 250 mg elke 8-12 uur. Vanaf dag 5 afhankelijk van de toestand van de patiënt 250 mg 1-3 x per dag. [6,12]</w:t>
      </w:r>
      <w:r w:rsidRPr="00B414AC">
        <w:rPr>
          <w:rFonts w:ascii="Verdana" w:hAnsi="Verdana"/>
          <w:color w:val="000000"/>
          <w:szCs w:val="20"/>
          <w:lang w:eastAsia="nl-NL"/>
        </w:rPr>
        <w:t xml:space="preserve"> </w:t>
      </w:r>
    </w:p>
    <w:p w:rsidR="00AD2572" w:rsidRPr="00B414AC" w:rsidRDefault="00AD2572" w:rsidP="00AD2572">
      <w:pPr>
        <w:jc w:val="both"/>
        <w:rPr>
          <w:rFonts w:ascii="Verdana" w:hAnsi="Verdana"/>
        </w:rPr>
      </w:pPr>
      <w:r w:rsidRPr="00B414AC">
        <w:rPr>
          <w:rFonts w:ascii="Verdana" w:hAnsi="Verdana"/>
        </w:rPr>
        <w:t xml:space="preserve">Dimercaprol 3-4 mg/kg, intramusculair, iedere 4 uur gedurende 5 dagen. Start 4 uur na de eerste gift van dimercaprol met toediening van CaNa2 EDTA. </w:t>
      </w:r>
    </w:p>
    <w:p w:rsidR="00AD2572" w:rsidRPr="00B414AC" w:rsidRDefault="00AD2572" w:rsidP="00AD2572">
      <w:pPr>
        <w:jc w:val="both"/>
        <w:rPr>
          <w:rFonts w:ascii="Verdana" w:hAnsi="Verdana"/>
        </w:rPr>
      </w:pPr>
      <w:r w:rsidRPr="00B414AC">
        <w:rPr>
          <w:rFonts w:ascii="Verdana" w:hAnsi="Verdana"/>
        </w:rPr>
        <w:t>CaNa2 EDTA: 1000-1500 mg/m</w:t>
      </w:r>
      <w:r w:rsidRPr="00B414AC">
        <w:rPr>
          <w:rFonts w:ascii="Verdana" w:hAnsi="Verdana"/>
          <w:vertAlign w:val="superscript"/>
        </w:rPr>
        <w:t>2</w:t>
      </w:r>
      <w:r w:rsidRPr="00B414AC">
        <w:rPr>
          <w:rFonts w:ascii="Verdana" w:hAnsi="Verdana"/>
        </w:rPr>
        <w:t xml:space="preserve"> per 24 uur als continu infuus, gedurende 5 dagen. [3,9,10]</w:t>
      </w:r>
    </w:p>
    <w:p w:rsidR="00AD2572" w:rsidRPr="00B414AC" w:rsidRDefault="00AD2572" w:rsidP="00AD2572">
      <w:pPr>
        <w:jc w:val="both"/>
        <w:rPr>
          <w:rFonts w:ascii="Verdana" w:hAnsi="Verdana"/>
        </w:rPr>
      </w:pPr>
      <w:r w:rsidRPr="00B414AC">
        <w:rPr>
          <w:rFonts w:ascii="Verdana" w:hAnsi="Verdana"/>
        </w:rPr>
        <w:t>Bij patiënten met hoge bloedloodspiegels en/of ernstige symptomen kan een verergering van het klinisch beeld en de encefalopathie optreden wanneer CaNa2 EDTA als monotherapie</w:t>
      </w:r>
      <w:r w:rsidR="004023B9" w:rsidRPr="00B414AC">
        <w:rPr>
          <w:rFonts w:ascii="Verdana" w:hAnsi="Verdana"/>
        </w:rPr>
        <w:t xml:space="preserve"> wordt gegeven</w:t>
      </w:r>
      <w:r w:rsidRPr="00B414AC">
        <w:rPr>
          <w:rFonts w:ascii="Verdana" w:hAnsi="Verdana"/>
        </w:rPr>
        <w:t xml:space="preserve">. Gelijktijdige toediening van dimercaprol kan dit voorkomen. [6,10] </w:t>
      </w:r>
    </w:p>
    <w:p w:rsidR="00AD2572" w:rsidRPr="00B414AC" w:rsidRDefault="00AD2572" w:rsidP="00AD2572">
      <w:pPr>
        <w:jc w:val="both"/>
        <w:rPr>
          <w:rFonts w:ascii="Verdana" w:hAnsi="Verdana"/>
        </w:rPr>
      </w:pPr>
      <w:r w:rsidRPr="00B414AC">
        <w:rPr>
          <w:rFonts w:ascii="Verdana" w:hAnsi="Verdana"/>
        </w:rPr>
        <w:t>Vanwege de moeilijkheden verbonden aan de toedienswijze en de bijwerkingen van dimercaprol (zie bijlage I)  wordt het inzetten van deze behandeloptie steeds meer beperkt.</w:t>
      </w:r>
    </w:p>
    <w:p w:rsidR="00AD2572" w:rsidRPr="00B414AC" w:rsidRDefault="00AD2572" w:rsidP="00AD2572">
      <w:pPr>
        <w:jc w:val="both"/>
        <w:rPr>
          <w:rFonts w:ascii="Verdana" w:hAnsi="Verdana"/>
        </w:rPr>
      </w:pPr>
      <w:r w:rsidRPr="00B414AC">
        <w:rPr>
          <w:rFonts w:ascii="Verdana" w:hAnsi="Verdana"/>
          <w:u w:val="single"/>
        </w:rPr>
        <w:t>Symptomatisch zonder encefalopathie</w:t>
      </w:r>
      <w:r w:rsidRPr="00B414AC">
        <w:rPr>
          <w:rFonts w:ascii="Verdana" w:hAnsi="Verdana"/>
        </w:rPr>
        <w:t xml:space="preserve"> </w:t>
      </w:r>
    </w:p>
    <w:p w:rsidR="00AD2572" w:rsidRPr="00B414AC" w:rsidRDefault="00D53138" w:rsidP="00AD2572">
      <w:pPr>
        <w:numPr>
          <w:ilvl w:val="0"/>
          <w:numId w:val="29"/>
        </w:numPr>
        <w:jc w:val="both"/>
        <w:rPr>
          <w:rFonts w:ascii="Verdana" w:hAnsi="Verdana"/>
          <w:lang w:val="en-US"/>
        </w:rPr>
      </w:pPr>
      <w:r w:rsidRPr="00B414AC">
        <w:rPr>
          <w:rFonts w:ascii="Verdana" w:hAnsi="Verdana"/>
          <w:lang w:val="en-US"/>
        </w:rPr>
        <w:t xml:space="preserve">Succimer of unithiol </w:t>
      </w:r>
      <w:r w:rsidR="00AD2572" w:rsidRPr="00B414AC">
        <w:rPr>
          <w:rFonts w:ascii="Verdana" w:hAnsi="Verdana"/>
          <w:lang w:val="en-US"/>
        </w:rPr>
        <w:t xml:space="preserve"> </w:t>
      </w:r>
    </w:p>
    <w:p w:rsidR="00AD2572" w:rsidRPr="00B414AC" w:rsidRDefault="00AD2572" w:rsidP="00AD2572">
      <w:pPr>
        <w:jc w:val="both"/>
        <w:rPr>
          <w:rFonts w:ascii="Verdana" w:hAnsi="Verdana"/>
          <w:color w:val="000000"/>
        </w:rPr>
      </w:pPr>
      <w:r w:rsidRPr="00B414AC">
        <w:rPr>
          <w:rFonts w:ascii="Verdana" w:hAnsi="Verdana"/>
          <w:color w:val="000000"/>
        </w:rPr>
        <w:t xml:space="preserve">Succimer: volwassenen en kinderen: 10 mg/kg, oraal, elke 8 uur gedurende 5 dagen, gevolgd door 10 mg/kg, oraal, elke 12 uur gedurende 14 dagen. </w:t>
      </w:r>
    </w:p>
    <w:p w:rsidR="00AD2572" w:rsidRPr="00B414AC" w:rsidRDefault="00AD2572" w:rsidP="00AD2572">
      <w:pPr>
        <w:rPr>
          <w:rFonts w:ascii="Verdana" w:hAnsi="Verdana"/>
          <w:color w:val="000000"/>
          <w:szCs w:val="20"/>
          <w:lang w:eastAsia="nl-NL"/>
        </w:rPr>
      </w:pPr>
      <w:r w:rsidRPr="00B414AC">
        <w:rPr>
          <w:rFonts w:ascii="Verdana" w:hAnsi="Verdana"/>
          <w:color w:val="000000"/>
        </w:rPr>
        <w:t xml:space="preserve">Unithiol: </w:t>
      </w:r>
      <w:r w:rsidRPr="00B414AC">
        <w:rPr>
          <w:rFonts w:ascii="Verdana" w:hAnsi="Verdana"/>
          <w:color w:val="000000"/>
          <w:szCs w:val="20"/>
          <w:lang w:eastAsia="nl-NL"/>
        </w:rPr>
        <w:t>volwassen oraal: 100mg 3-4 x per dag ten minste 1 uur voor het eten.</w:t>
      </w:r>
    </w:p>
    <w:p w:rsidR="00AD2572" w:rsidRPr="00B414AC" w:rsidRDefault="00AD2572" w:rsidP="00AD2572">
      <w:pPr>
        <w:jc w:val="both"/>
        <w:rPr>
          <w:rFonts w:ascii="Verdana" w:hAnsi="Verdana"/>
        </w:rPr>
      </w:pPr>
      <w:r w:rsidRPr="00B414AC">
        <w:rPr>
          <w:rFonts w:ascii="Verdana" w:hAnsi="Verdana"/>
        </w:rPr>
        <w:t xml:space="preserve">Bij gastro-intestinale problemen kan unithiol of eventueel CaNa2 EDTA intraveneus worden voorgeschreven. </w:t>
      </w:r>
    </w:p>
    <w:p w:rsidR="00AD2572" w:rsidRPr="00B414AC" w:rsidRDefault="00AD2572" w:rsidP="00AD2572">
      <w:pPr>
        <w:rPr>
          <w:rFonts w:ascii="Verdana" w:hAnsi="Verdana"/>
          <w:color w:val="000000"/>
          <w:szCs w:val="20"/>
          <w:lang w:eastAsia="nl-NL"/>
        </w:rPr>
      </w:pPr>
      <w:r w:rsidRPr="00B414AC">
        <w:rPr>
          <w:rFonts w:ascii="Verdana" w:hAnsi="Verdana"/>
        </w:rPr>
        <w:t>Unithiol: volwassenen dag 1: 250 mg elke 3-4 uur. Dag 2: 250 mg elke 4-6 uur. Dag 3: 250 mg elke 6-</w:t>
      </w:r>
      <w:r w:rsidRPr="00B414AC">
        <w:rPr>
          <w:rFonts w:ascii="Verdana" w:hAnsi="Verdana"/>
          <w:szCs w:val="20"/>
        </w:rPr>
        <w:t>8 uur. Dag 4: 250 mg elke 8-12 uur. Vanaf dag 5 afhankelijk van de toestand van de patiënt 250 mg 1-3 x per dag. [6,12]</w:t>
      </w:r>
      <w:r w:rsidRPr="00B414AC">
        <w:rPr>
          <w:rFonts w:ascii="Verdana" w:hAnsi="Verdana"/>
          <w:color w:val="000000"/>
          <w:szCs w:val="20"/>
          <w:lang w:eastAsia="nl-NL"/>
        </w:rPr>
        <w:t xml:space="preserve"> </w:t>
      </w:r>
    </w:p>
    <w:p w:rsidR="00AD2572" w:rsidRPr="00B414AC" w:rsidRDefault="00AD2572" w:rsidP="00AD2572">
      <w:pPr>
        <w:jc w:val="both"/>
        <w:rPr>
          <w:rFonts w:ascii="Verdana" w:hAnsi="Verdana"/>
          <w:szCs w:val="20"/>
        </w:rPr>
      </w:pPr>
      <w:r w:rsidRPr="00B414AC">
        <w:rPr>
          <w:rFonts w:ascii="Verdana" w:hAnsi="Verdana"/>
          <w:szCs w:val="20"/>
        </w:rPr>
        <w:t>CaNa2 EDTA: 1000-1500 mg/m</w:t>
      </w:r>
      <w:r w:rsidRPr="00B414AC">
        <w:rPr>
          <w:rFonts w:ascii="Verdana" w:hAnsi="Verdana"/>
          <w:szCs w:val="20"/>
          <w:vertAlign w:val="superscript"/>
        </w:rPr>
        <w:t>2</w:t>
      </w:r>
      <w:r w:rsidRPr="00B414AC">
        <w:rPr>
          <w:rFonts w:ascii="Verdana" w:hAnsi="Verdana"/>
          <w:szCs w:val="20"/>
        </w:rPr>
        <w:t xml:space="preserve"> per 24 uur als continu infuus. [9,10]</w:t>
      </w:r>
    </w:p>
    <w:p w:rsidR="00AD2572" w:rsidRPr="00B414AC" w:rsidRDefault="00AD2572" w:rsidP="00AD2572">
      <w:pPr>
        <w:jc w:val="both"/>
        <w:rPr>
          <w:rFonts w:ascii="Verdana" w:hAnsi="Verdana"/>
        </w:rPr>
      </w:pPr>
    </w:p>
    <w:p w:rsidR="00AD2572" w:rsidRPr="00B414AC" w:rsidRDefault="00AD2572" w:rsidP="00AD2572">
      <w:pPr>
        <w:jc w:val="both"/>
        <w:rPr>
          <w:rFonts w:ascii="Verdana" w:hAnsi="Verdana"/>
        </w:rPr>
      </w:pPr>
      <w:r w:rsidRPr="00B414AC">
        <w:rPr>
          <w:rFonts w:ascii="Verdana" w:hAnsi="Verdana"/>
        </w:rPr>
        <w:t xml:space="preserve">De orale chelatoren succimer en unithiol zijn wateroplosbare analogen van dimercaprol. Hoewel succimer een gunstiger veiligheidsprofiel heeft, zijn de chelatoren in principe uitwisselbaar. Er zijn te weinig vergelijkingsstudies bij mensen gedaan om een voorkeur uit te kunnen spreken welke van deze twee chelatoren te gebruiken bij een loodintoxicatie. Dat therapie met succimer veel vaker beschreven is, is vooral te danken aan een registratiekwestie: het is namelijk voor oraal gebruik goedgekeurd in de Verenigde Staten, in tegenstelling tot unithiol. Unithiol is oorspronkelijk ontwikkeld in de Sovjet Unie. In Europa bestaan goede ervaringen met oraal gebruik van unithiol. [6] Unithiol bindt in tegenstelling tot dimercaprol, succimer en CaNa2 EDTA ook lood dat intracellulair aanwezig is. </w:t>
      </w:r>
    </w:p>
    <w:p w:rsidR="00AD2572" w:rsidRPr="00B414AC" w:rsidRDefault="00AD2572" w:rsidP="00AD2572">
      <w:pPr>
        <w:jc w:val="both"/>
        <w:rPr>
          <w:rFonts w:ascii="Verdana" w:hAnsi="Verdana"/>
          <w:szCs w:val="20"/>
        </w:rPr>
      </w:pPr>
      <w:r w:rsidRPr="00B414AC">
        <w:rPr>
          <w:rFonts w:ascii="Verdana" w:hAnsi="Verdana"/>
          <w:szCs w:val="20"/>
        </w:rPr>
        <w:t>Succimer, unithiol en CaNa2 EDTA zijn effectieve chelatoren voor lood. Er zijn op dit moment niet genoeg data om een voorkeur te kunnen uitspreken. Alhoewel er meer ervaring is met CaNa2 EDTA, vnl. bij lood encefalopathie, kunnen de oraal toedienbare chalatoren succimer en unithiol gezien worden als een goed alternatief wanneer orale toediening mogelijk is. [11]</w:t>
      </w:r>
    </w:p>
    <w:p w:rsidR="00AD2572" w:rsidRPr="00B414AC" w:rsidRDefault="00AD2572" w:rsidP="00AD2572">
      <w:pPr>
        <w:jc w:val="both"/>
        <w:rPr>
          <w:rFonts w:ascii="Verdana" w:hAnsi="Verdana"/>
          <w:szCs w:val="20"/>
        </w:rPr>
      </w:pPr>
    </w:p>
    <w:p w:rsidR="00AD2572" w:rsidRPr="00B414AC" w:rsidRDefault="00AD2572" w:rsidP="00AD2572">
      <w:pPr>
        <w:jc w:val="both"/>
        <w:rPr>
          <w:rFonts w:ascii="Verdana" w:hAnsi="Verdana"/>
          <w:u w:val="single"/>
        </w:rPr>
      </w:pPr>
      <w:r w:rsidRPr="00B414AC">
        <w:rPr>
          <w:rFonts w:ascii="Verdana" w:hAnsi="Verdana"/>
          <w:u w:val="single"/>
        </w:rPr>
        <w:t>Volwassenen, asymptomatisch met verhoogde bloedloodspiegels</w:t>
      </w:r>
    </w:p>
    <w:p w:rsidR="00AD2572" w:rsidRPr="00B414AC" w:rsidRDefault="00AD2572" w:rsidP="00AD2572">
      <w:pPr>
        <w:jc w:val="both"/>
        <w:rPr>
          <w:rFonts w:ascii="Verdana" w:hAnsi="Verdana"/>
        </w:rPr>
      </w:pPr>
      <w:r w:rsidRPr="00B414AC">
        <w:rPr>
          <w:rFonts w:ascii="Verdana" w:hAnsi="Verdana"/>
        </w:rPr>
        <w:lastRenderedPageBreak/>
        <w:t>Bij patiënten met bloedloodspiegels &gt; 500 - 800 µg/l kan het geven van succimer of unithiol</w:t>
      </w:r>
      <w:r w:rsidRPr="00B414AC">
        <w:rPr>
          <w:rFonts w:ascii="Verdana" w:hAnsi="Verdana"/>
          <w:color w:val="FF0000"/>
        </w:rPr>
        <w:t xml:space="preserve"> </w:t>
      </w:r>
      <w:r w:rsidRPr="00B414AC">
        <w:rPr>
          <w:rFonts w:ascii="Verdana" w:hAnsi="Verdana"/>
        </w:rPr>
        <w:t xml:space="preserve">worden overwogen. Bij patiënten met lagere bloedloodspiegels is door chelatietherapie geen klinische verbetering aangetoond. [3,5,8] </w:t>
      </w:r>
    </w:p>
    <w:p w:rsidR="00AD2572" w:rsidRPr="00B414AC" w:rsidRDefault="00AD2572" w:rsidP="00AD2572">
      <w:pPr>
        <w:jc w:val="both"/>
        <w:rPr>
          <w:rFonts w:ascii="Verdana" w:hAnsi="Verdana"/>
        </w:rPr>
      </w:pPr>
    </w:p>
    <w:p w:rsidR="00AD2572" w:rsidRPr="00B414AC" w:rsidRDefault="00AD2572" w:rsidP="00AD2572">
      <w:pPr>
        <w:jc w:val="both"/>
        <w:rPr>
          <w:rFonts w:ascii="Verdana" w:hAnsi="Verdana"/>
          <w:u w:val="single"/>
        </w:rPr>
      </w:pPr>
      <w:r w:rsidRPr="00B414AC">
        <w:rPr>
          <w:rFonts w:ascii="Verdana" w:hAnsi="Verdana"/>
          <w:u w:val="single"/>
        </w:rPr>
        <w:t xml:space="preserve">Kinderen, asymptomatisch met verhoogde bloedloodspiegels </w:t>
      </w:r>
    </w:p>
    <w:p w:rsidR="00AD2572" w:rsidRPr="00B414AC" w:rsidRDefault="00AD2572" w:rsidP="00AD2572">
      <w:pPr>
        <w:jc w:val="both"/>
        <w:rPr>
          <w:rFonts w:ascii="Verdana" w:hAnsi="Verdana"/>
        </w:rPr>
      </w:pPr>
      <w:r w:rsidRPr="00B414AC">
        <w:rPr>
          <w:rFonts w:ascii="Verdana" w:hAnsi="Verdana"/>
        </w:rPr>
        <w:t xml:space="preserve">Het CDC (Center for Disease Control and Prevention, VS) raadt aan om vanaf een spiegel van 450 µg/l of hoger succimer toe te dienen. Een grote dubbelblind placebo gecontroleerde trial bij kinderen met spiegels tussen de 250 – 440 µg/l toonde geen klinische verbetering na chelatietherapie aan. [3,7] </w:t>
      </w:r>
    </w:p>
    <w:p w:rsidR="00AD2572" w:rsidRPr="00B414AC" w:rsidRDefault="00AD2572" w:rsidP="00AD2572">
      <w:pPr>
        <w:rPr>
          <w:rFonts w:ascii="Verdana" w:hAnsi="Verdana"/>
          <w:b/>
          <w:u w:val="single"/>
        </w:rPr>
      </w:pPr>
    </w:p>
    <w:p w:rsidR="00AD2572" w:rsidRPr="00B414AC" w:rsidRDefault="00AD2572" w:rsidP="00AD2572">
      <w:pPr>
        <w:rPr>
          <w:rFonts w:ascii="Verdana" w:hAnsi="Verdana"/>
          <w:b/>
          <w:u w:val="single"/>
        </w:rPr>
      </w:pPr>
      <w:r w:rsidRPr="00B414AC">
        <w:rPr>
          <w:rFonts w:ascii="Verdana" w:hAnsi="Verdana"/>
          <w:b/>
          <w:u w:val="single"/>
        </w:rPr>
        <w:t>Duur therapie</w:t>
      </w:r>
    </w:p>
    <w:p w:rsidR="00AD2572" w:rsidRPr="00B414AC" w:rsidRDefault="00AD2572" w:rsidP="00AD2572">
      <w:pPr>
        <w:jc w:val="both"/>
        <w:rPr>
          <w:rFonts w:ascii="Verdana" w:hAnsi="Verdana"/>
        </w:rPr>
      </w:pPr>
      <w:r w:rsidRPr="00B414AC">
        <w:rPr>
          <w:rFonts w:ascii="Verdana" w:hAnsi="Verdana"/>
        </w:rPr>
        <w:t>Meet een bloedspiegel voorafgaande aan de chelatietherapie. Meet daarna 24 tot 48 uur na start van de therapie om te bevestigen dat de spiegels inderdaad dalen. [6] Het wordt aanbevolen om de bloedloodspiegel 1 tot 3 weken na de chelatietherapie opnieuw te bepalen vanwege de kans op eventuele rebound effecten door het instellen van een nieuw evenwicht tussen de compartimenten. Rebound spiegels zijn ongeveer 70-80% van de spiegels voorafgaand aan de behandeling. Herhaling kan overwogen worden op basis van de bloedloodspiegels na behandeling en het aanhouden of opnieuw optreden van symptomen. De literatuur geeft geen duidelijkheid bij welke spiegels de therapie herhaald moet worden, maar logisch lijkt om hier ook een bloedloodconcentratie &gt; 500 - 800 µg/l voor volwassenen aan te houden. [3,9]</w:t>
      </w:r>
    </w:p>
    <w:p w:rsidR="00AD2572" w:rsidRPr="00B414AC" w:rsidRDefault="00AD2572" w:rsidP="00AD2572">
      <w:pPr>
        <w:rPr>
          <w:rFonts w:ascii="Verdana" w:hAnsi="Verdana"/>
        </w:rPr>
      </w:pPr>
    </w:p>
    <w:p w:rsidR="00AD2572" w:rsidRPr="00B414AC" w:rsidRDefault="00AD2572" w:rsidP="00AD2572">
      <w:pPr>
        <w:rPr>
          <w:rFonts w:ascii="Verdana" w:hAnsi="Verdana"/>
          <w:b/>
        </w:rPr>
      </w:pPr>
      <w:r w:rsidRPr="00B414AC">
        <w:rPr>
          <w:rFonts w:ascii="Verdana" w:hAnsi="Verdana"/>
          <w:b/>
        </w:rPr>
        <w:t>Literatuur</w:t>
      </w:r>
    </w:p>
    <w:p w:rsidR="00AD2572" w:rsidRPr="00B414AC" w:rsidRDefault="00AD2572" w:rsidP="00AD2572">
      <w:pPr>
        <w:spacing w:line="270" w:lineRule="atLeast"/>
        <w:jc w:val="both"/>
        <w:rPr>
          <w:rFonts w:ascii="Verdana" w:hAnsi="Verdana" w:cs="Arial"/>
          <w:color w:val="000000"/>
          <w:szCs w:val="20"/>
        </w:rPr>
      </w:pPr>
      <w:r w:rsidRPr="00B414AC">
        <w:rPr>
          <w:rFonts w:ascii="Verdana" w:hAnsi="Verdana"/>
          <w:szCs w:val="20"/>
        </w:rPr>
        <w:t xml:space="preserve">[1] </w:t>
      </w:r>
      <w:r w:rsidRPr="00B414AC">
        <w:rPr>
          <w:rFonts w:ascii="Verdana" w:hAnsi="Verdana" w:cs="Arial"/>
          <w:color w:val="000000"/>
          <w:szCs w:val="20"/>
        </w:rPr>
        <w:t>C. Hegger, T.J.F. Savelkoul en J. Meulenbelt. Vergiftiging door lood. Ned Tijdschr Geneeskd. 1992;136:1093</w:t>
      </w:r>
    </w:p>
    <w:p w:rsidR="00AD2572" w:rsidRPr="00B414AC" w:rsidRDefault="00AD2572" w:rsidP="00AD2572">
      <w:pPr>
        <w:spacing w:line="270" w:lineRule="atLeast"/>
        <w:jc w:val="both"/>
        <w:rPr>
          <w:rFonts w:ascii="Verdana" w:hAnsi="Verdana" w:cs="Arial"/>
          <w:color w:val="000000"/>
          <w:szCs w:val="20"/>
        </w:rPr>
      </w:pPr>
      <w:r w:rsidRPr="00B414AC">
        <w:rPr>
          <w:rFonts w:ascii="Verdana" w:hAnsi="Verdana" w:cs="Arial"/>
          <w:color w:val="000000"/>
          <w:szCs w:val="20"/>
        </w:rPr>
        <w:t>[2] B.L.J. Kanen en R.M. Perenboom. Chronische loodintoxicatie door ayurvedische kruiden. Ned Tijdschr Geneeskd. 2005;149:2893</w:t>
      </w:r>
    </w:p>
    <w:p w:rsidR="00AD2572" w:rsidRPr="00B414AC" w:rsidRDefault="00AD2572" w:rsidP="00AD2572">
      <w:pPr>
        <w:autoSpaceDE w:val="0"/>
        <w:autoSpaceDN w:val="0"/>
        <w:adjustRightInd w:val="0"/>
        <w:rPr>
          <w:rFonts w:ascii="Verdana" w:hAnsi="Verdana" w:cs="TimesNewRomanPS"/>
          <w:szCs w:val="20"/>
          <w:lang w:eastAsia="nl-NL"/>
        </w:rPr>
      </w:pPr>
      <w:r w:rsidRPr="00B414AC">
        <w:rPr>
          <w:rFonts w:ascii="Verdana" w:hAnsi="Verdana" w:cs="TimesNewRomanPS"/>
          <w:szCs w:val="20"/>
          <w:lang w:eastAsia="nl-NL"/>
        </w:rPr>
        <w:t>[3] Poisoning &amp; drug overdose, fifth edition, 2007.</w:t>
      </w:r>
    </w:p>
    <w:p w:rsidR="00AD2572" w:rsidRPr="00B414AC" w:rsidRDefault="00AD2572" w:rsidP="00AD2572">
      <w:pPr>
        <w:autoSpaceDE w:val="0"/>
        <w:autoSpaceDN w:val="0"/>
        <w:adjustRightInd w:val="0"/>
        <w:rPr>
          <w:rFonts w:ascii="Verdana" w:hAnsi="Verdana" w:cs="HelveticaNeue-Roman"/>
          <w:color w:val="1F1410"/>
          <w:szCs w:val="20"/>
          <w:lang w:eastAsia="nl-NL"/>
        </w:rPr>
      </w:pPr>
      <w:r w:rsidRPr="00B414AC">
        <w:rPr>
          <w:rFonts w:ascii="Verdana" w:hAnsi="Verdana" w:cs="HelveticaNeue-Roman"/>
          <w:color w:val="1F1410"/>
          <w:szCs w:val="20"/>
          <w:lang w:eastAsia="nl-NL"/>
        </w:rPr>
        <w:t xml:space="preserve">[4]Winter-Sorkina R de, Bakker MI, Donkersgoed G van, Klaveren JD van. </w:t>
      </w:r>
      <w:r w:rsidRPr="00B414AC">
        <w:rPr>
          <w:rFonts w:ascii="Verdana" w:hAnsi="Verdana" w:cs="HelveticaNeue-Roman"/>
          <w:color w:val="1F1410"/>
          <w:szCs w:val="20"/>
          <w:lang w:val="en-US" w:eastAsia="nl-NL"/>
        </w:rPr>
        <w:t xml:space="preserve">Dietary intake of heavy metals (cadmium, lead and mercury) by the Dutch population. </w:t>
      </w:r>
      <w:r w:rsidRPr="00B414AC">
        <w:rPr>
          <w:rFonts w:ascii="Verdana" w:hAnsi="Verdana" w:cs="HelveticaNeue-Roman"/>
          <w:color w:val="1F1410"/>
          <w:szCs w:val="20"/>
          <w:lang w:eastAsia="nl-NL"/>
        </w:rPr>
        <w:t>Rijksinstituut voor Volksgezondheid en Milieu. RIVM-rapportnr. 320103001. Bilthoven, 2003.</w:t>
      </w:r>
    </w:p>
    <w:p w:rsidR="00AD2572" w:rsidRPr="00B414AC" w:rsidRDefault="00AD2572" w:rsidP="00AD2572">
      <w:pPr>
        <w:autoSpaceDE w:val="0"/>
        <w:autoSpaceDN w:val="0"/>
        <w:adjustRightInd w:val="0"/>
        <w:rPr>
          <w:rFonts w:ascii="Verdana" w:hAnsi="Verdana" w:cs="TimesNewRomanPS"/>
          <w:szCs w:val="20"/>
          <w:lang w:eastAsia="nl-NL"/>
        </w:rPr>
      </w:pPr>
      <w:r w:rsidRPr="00B414AC">
        <w:rPr>
          <w:rFonts w:ascii="Verdana" w:hAnsi="Verdana" w:cs="HelveticaNeue-Roman"/>
          <w:color w:val="1F1410"/>
          <w:szCs w:val="20"/>
          <w:lang w:eastAsia="nl-NL"/>
        </w:rPr>
        <w:t>[5] Goldfrank’s, toxicologic emergencies, 8th edition.</w:t>
      </w:r>
    </w:p>
    <w:p w:rsidR="00AD2572" w:rsidRPr="00B414AC" w:rsidRDefault="00AD2572" w:rsidP="00AD2572">
      <w:pPr>
        <w:spacing w:line="270" w:lineRule="atLeast"/>
        <w:jc w:val="both"/>
        <w:rPr>
          <w:rFonts w:ascii="Verdana" w:hAnsi="Verdana" w:cs="Arial"/>
          <w:color w:val="000000"/>
          <w:szCs w:val="20"/>
        </w:rPr>
      </w:pPr>
      <w:r w:rsidRPr="00B414AC">
        <w:rPr>
          <w:rFonts w:ascii="Verdana" w:hAnsi="Verdana" w:cs="Arial"/>
          <w:color w:val="000000"/>
          <w:szCs w:val="20"/>
        </w:rPr>
        <w:t>[6] Nationaal vergiftigingen informatie Centrum, geraadpleegd op 28-04-2011.</w:t>
      </w:r>
    </w:p>
    <w:p w:rsidR="00AD2572" w:rsidRPr="00B414AC" w:rsidRDefault="00AD2572" w:rsidP="00AD2572">
      <w:pPr>
        <w:autoSpaceDE w:val="0"/>
        <w:autoSpaceDN w:val="0"/>
        <w:adjustRightInd w:val="0"/>
        <w:rPr>
          <w:rFonts w:ascii="Verdana" w:hAnsi="Verdana" w:cs="TimesNewRomanPS"/>
          <w:szCs w:val="20"/>
          <w:lang w:val="en-US" w:eastAsia="nl-NL"/>
        </w:rPr>
      </w:pPr>
      <w:r w:rsidRPr="00B414AC">
        <w:rPr>
          <w:rFonts w:ascii="Verdana" w:hAnsi="Verdana" w:cs="TimesNewRomanPS"/>
          <w:szCs w:val="20"/>
          <w:lang w:val="en-US" w:eastAsia="nl-NL"/>
        </w:rPr>
        <w:t>[7] Medical toxicology, third edition, 2004</w:t>
      </w:r>
    </w:p>
    <w:p w:rsidR="00AD2572" w:rsidRPr="00B414AC" w:rsidRDefault="00AD2572" w:rsidP="00AD2572">
      <w:pPr>
        <w:autoSpaceDE w:val="0"/>
        <w:autoSpaceDN w:val="0"/>
        <w:adjustRightInd w:val="0"/>
        <w:rPr>
          <w:rFonts w:ascii="Verdana" w:hAnsi="Verdana" w:cs="TimesNewRomanPS"/>
          <w:szCs w:val="20"/>
          <w:lang w:val="en-US" w:eastAsia="nl-NL"/>
        </w:rPr>
      </w:pPr>
      <w:r w:rsidRPr="00B414AC">
        <w:rPr>
          <w:rFonts w:ascii="Verdana" w:hAnsi="Verdana" w:cs="TimesNewRomanPS"/>
          <w:szCs w:val="20"/>
          <w:lang w:val="en-US" w:eastAsia="nl-NL"/>
        </w:rPr>
        <w:t>[8] UpToDate, geraadpleegd op 02-05-2011</w:t>
      </w:r>
    </w:p>
    <w:p w:rsidR="00AD2572" w:rsidRPr="00B414AC" w:rsidRDefault="00AD2572" w:rsidP="00AD2572">
      <w:pPr>
        <w:rPr>
          <w:rFonts w:ascii="Verdana" w:hAnsi="Verdana"/>
          <w:szCs w:val="20"/>
          <w:lang w:val="en-US"/>
        </w:rPr>
      </w:pPr>
      <w:r w:rsidRPr="00B414AC">
        <w:rPr>
          <w:rFonts w:ascii="Verdana" w:hAnsi="Verdana" w:cs="HelveticaNeue-Roman"/>
          <w:color w:val="1F1410"/>
          <w:szCs w:val="20"/>
          <w:lang w:val="en-US" w:eastAsia="nl-NL"/>
        </w:rPr>
        <w:t xml:space="preserve">[9] </w:t>
      </w:r>
      <w:r w:rsidRPr="00B414AC">
        <w:rPr>
          <w:rFonts w:ascii="Verdana" w:hAnsi="Verdana"/>
          <w:szCs w:val="20"/>
          <w:lang w:val="en-US"/>
        </w:rPr>
        <w:t>Gracia, RC et al. Lead toxicity and chelation therapy. Am J. Health-Syst Pharm, vol 64; 2007; 45-53</w:t>
      </w:r>
    </w:p>
    <w:p w:rsidR="00AD2572" w:rsidRPr="00B414AC" w:rsidRDefault="00AD2572" w:rsidP="00AD2572">
      <w:pPr>
        <w:autoSpaceDE w:val="0"/>
        <w:autoSpaceDN w:val="0"/>
        <w:adjustRightInd w:val="0"/>
        <w:rPr>
          <w:rFonts w:ascii="Verdana" w:hAnsi="Verdana" w:cs="TimesNewRomanPS"/>
          <w:szCs w:val="20"/>
          <w:lang w:eastAsia="nl-NL"/>
        </w:rPr>
      </w:pPr>
      <w:r w:rsidRPr="00B414AC">
        <w:rPr>
          <w:rFonts w:ascii="Verdana" w:hAnsi="Verdana" w:cs="TimesNewRomanPS"/>
          <w:szCs w:val="20"/>
          <w:lang w:eastAsia="nl-NL"/>
        </w:rPr>
        <w:t>[10] Micromedex, geraadpleegd op 09-05-2011</w:t>
      </w:r>
    </w:p>
    <w:p w:rsidR="00AD2572" w:rsidRPr="00B414AC" w:rsidRDefault="00AD2572" w:rsidP="00AD2572">
      <w:pPr>
        <w:autoSpaceDE w:val="0"/>
        <w:autoSpaceDN w:val="0"/>
        <w:adjustRightInd w:val="0"/>
        <w:rPr>
          <w:rFonts w:ascii="Verdana" w:hAnsi="Verdana" w:cs="TimesNewRomanPS"/>
          <w:szCs w:val="20"/>
          <w:lang w:eastAsia="nl-NL"/>
        </w:rPr>
      </w:pPr>
      <w:r w:rsidRPr="00B414AC">
        <w:rPr>
          <w:rFonts w:ascii="Verdana" w:hAnsi="Verdana"/>
          <w:szCs w:val="20"/>
        </w:rPr>
        <w:t xml:space="preserve">[11] </w:t>
      </w:r>
      <w:r w:rsidRPr="00B414AC">
        <w:rPr>
          <w:rFonts w:ascii="Verdana" w:hAnsi="Verdana" w:cs="TimesNewRomanPS"/>
          <w:color w:val="000000"/>
          <w:szCs w:val="20"/>
          <w:lang w:eastAsia="nl-NL"/>
        </w:rPr>
        <w:t xml:space="preserve">S.Bradberry, A. Vale. </w:t>
      </w:r>
      <w:r w:rsidRPr="00B414AC">
        <w:rPr>
          <w:rFonts w:ascii="Verdana" w:hAnsi="Verdana" w:cs="TimesNewRomanPS"/>
          <w:szCs w:val="20"/>
          <w:lang w:val="en-US" w:eastAsia="nl-NL"/>
        </w:rPr>
        <w:t xml:space="preserve">A comparison of sodium calcium edetate (edetate calcium disodium) and succimer (DMSA) in the treatment of inorganic lead poisoning. </w:t>
      </w:r>
      <w:r w:rsidRPr="00B414AC">
        <w:rPr>
          <w:rFonts w:ascii="Verdana" w:hAnsi="Verdana" w:cs="TimesNewRomanPS-Italic"/>
          <w:iCs/>
          <w:szCs w:val="20"/>
          <w:lang w:eastAsia="nl-NL"/>
        </w:rPr>
        <w:t>Clinical Toxicology</w:t>
      </w:r>
      <w:r w:rsidRPr="00B414AC">
        <w:rPr>
          <w:rFonts w:ascii="Verdana" w:hAnsi="Verdana" w:cs="TimesNewRomanPS-Italic"/>
          <w:i/>
          <w:iCs/>
          <w:szCs w:val="20"/>
          <w:lang w:eastAsia="nl-NL"/>
        </w:rPr>
        <w:t xml:space="preserve"> </w:t>
      </w:r>
      <w:r w:rsidRPr="00B414AC">
        <w:rPr>
          <w:rFonts w:ascii="Verdana" w:hAnsi="Verdana" w:cs="TimesNewRomanPS"/>
          <w:szCs w:val="20"/>
          <w:lang w:eastAsia="nl-NL"/>
        </w:rPr>
        <w:t xml:space="preserve">(2009) </w:t>
      </w:r>
      <w:r w:rsidRPr="00B414AC">
        <w:rPr>
          <w:rFonts w:ascii="Verdana" w:hAnsi="Verdana" w:cs="TimesNewRomanPS-Bold"/>
          <w:bCs/>
          <w:szCs w:val="20"/>
          <w:lang w:eastAsia="nl-NL"/>
        </w:rPr>
        <w:t>47</w:t>
      </w:r>
      <w:r w:rsidRPr="00B414AC">
        <w:rPr>
          <w:rFonts w:ascii="Verdana" w:hAnsi="Verdana" w:cs="TimesNewRomanPS"/>
          <w:szCs w:val="20"/>
          <w:lang w:eastAsia="nl-NL"/>
        </w:rPr>
        <w:t>, 841–858</w:t>
      </w:r>
    </w:p>
    <w:p w:rsidR="00AD2572" w:rsidRPr="00B414AC" w:rsidRDefault="00AD2572" w:rsidP="00AD2572">
      <w:pPr>
        <w:autoSpaceDE w:val="0"/>
        <w:autoSpaceDN w:val="0"/>
        <w:adjustRightInd w:val="0"/>
        <w:rPr>
          <w:rFonts w:ascii="Verdana" w:hAnsi="Verdana" w:cs="HelveticaNeue-Roman"/>
          <w:color w:val="1F1410"/>
          <w:szCs w:val="20"/>
          <w:lang w:eastAsia="nl-NL"/>
        </w:rPr>
      </w:pPr>
      <w:r w:rsidRPr="00B414AC">
        <w:rPr>
          <w:rFonts w:ascii="Verdana" w:hAnsi="Verdana" w:cs="HelveticaNeue-Roman"/>
          <w:color w:val="1F1410"/>
          <w:szCs w:val="20"/>
          <w:lang w:eastAsia="nl-NL"/>
        </w:rPr>
        <w:t>[</w:t>
      </w:r>
      <w:r w:rsidRPr="00B414AC">
        <w:rPr>
          <w:rFonts w:ascii="Verdana" w:hAnsi="Verdana" w:cs="HelveticaNeue-Roman"/>
          <w:szCs w:val="20"/>
          <w:lang w:eastAsia="nl-NL"/>
        </w:rPr>
        <w:t>12</w:t>
      </w:r>
      <w:r w:rsidRPr="00B414AC">
        <w:rPr>
          <w:rFonts w:ascii="Verdana" w:hAnsi="Verdana" w:cs="HelveticaNeue-Roman"/>
          <w:color w:val="1F1410"/>
          <w:szCs w:val="20"/>
          <w:lang w:eastAsia="nl-NL"/>
        </w:rPr>
        <w:t>] KMNP Kennisbank, geraadpleegd op 05-05-2011.</w:t>
      </w:r>
    </w:p>
    <w:p w:rsidR="00AD2572" w:rsidRPr="00B414AC" w:rsidRDefault="00AD2572" w:rsidP="00AD2572">
      <w:pPr>
        <w:jc w:val="both"/>
        <w:rPr>
          <w:rFonts w:ascii="Verdana" w:hAnsi="Verdana"/>
          <w:b/>
        </w:rPr>
      </w:pPr>
    </w:p>
    <w:p w:rsidR="00AD2572" w:rsidRPr="00B414AC" w:rsidRDefault="00AD2572" w:rsidP="00AD2572">
      <w:pPr>
        <w:jc w:val="both"/>
        <w:rPr>
          <w:rFonts w:ascii="Verdana" w:hAnsi="Verdana"/>
          <w:b/>
        </w:rPr>
      </w:pPr>
      <w:r w:rsidRPr="00B414AC">
        <w:rPr>
          <w:rFonts w:ascii="Verdana" w:hAnsi="Verdana"/>
          <w:b/>
        </w:rPr>
        <w:lastRenderedPageBreak/>
        <w:t>Auteurs</w:t>
      </w:r>
    </w:p>
    <w:p w:rsidR="00AD2572" w:rsidRPr="00B414AC" w:rsidRDefault="00AD2572" w:rsidP="00AD2572">
      <w:pPr>
        <w:rPr>
          <w:rFonts w:ascii="Verdana" w:hAnsi="Verdana"/>
          <w:szCs w:val="20"/>
        </w:rPr>
      </w:pPr>
      <w:r w:rsidRPr="00B414AC">
        <w:rPr>
          <w:rFonts w:ascii="Verdana" w:hAnsi="Verdana"/>
          <w:szCs w:val="20"/>
        </w:rPr>
        <w:t>Dr. R. Aarnoutse, zieken</w:t>
      </w:r>
      <w:r w:rsidR="00B414AC">
        <w:rPr>
          <w:rFonts w:ascii="Verdana" w:hAnsi="Verdana"/>
          <w:szCs w:val="20"/>
        </w:rPr>
        <w:t>huisapotheker, UMC‘St. Radboud</w:t>
      </w:r>
      <w:r w:rsidRPr="00B414AC">
        <w:rPr>
          <w:rFonts w:ascii="Verdana" w:hAnsi="Verdana"/>
          <w:szCs w:val="20"/>
        </w:rPr>
        <w:t>, Nijmegen</w:t>
      </w:r>
    </w:p>
    <w:p w:rsidR="00AD2572" w:rsidRPr="00B414AC" w:rsidRDefault="00AD2572" w:rsidP="00AD2572">
      <w:pPr>
        <w:rPr>
          <w:rFonts w:ascii="Verdana" w:hAnsi="Verdana"/>
          <w:szCs w:val="20"/>
        </w:rPr>
      </w:pPr>
      <w:r w:rsidRPr="00B414AC">
        <w:rPr>
          <w:rFonts w:ascii="Verdana" w:hAnsi="Verdana"/>
          <w:szCs w:val="20"/>
        </w:rPr>
        <w:t>Dr. C. Kramers, inter</w:t>
      </w:r>
      <w:r w:rsidR="00B414AC">
        <w:rPr>
          <w:rFonts w:ascii="Verdana" w:hAnsi="Verdana"/>
          <w:szCs w:val="20"/>
        </w:rPr>
        <w:t>nist-klinisch farmacoloog, UMC St. Radboud</w:t>
      </w:r>
      <w:r w:rsidRPr="00B414AC">
        <w:rPr>
          <w:rFonts w:ascii="Verdana" w:hAnsi="Verdana"/>
          <w:szCs w:val="20"/>
        </w:rPr>
        <w:t>, Nijmegen.</w:t>
      </w:r>
    </w:p>
    <w:p w:rsidR="00AD2572" w:rsidRPr="00B414AC" w:rsidRDefault="00AD2572" w:rsidP="00AD2572">
      <w:pPr>
        <w:rPr>
          <w:rFonts w:ascii="Verdana" w:hAnsi="Verdana"/>
          <w:szCs w:val="20"/>
        </w:rPr>
      </w:pPr>
      <w:r w:rsidRPr="00B414AC">
        <w:rPr>
          <w:rFonts w:ascii="Verdana" w:hAnsi="Verdana"/>
          <w:szCs w:val="20"/>
        </w:rPr>
        <w:t>Drs. C.A.K. van der Stelt, ziekenhuisapotheker i.o., UMC ‘St. Radboud’, Nijmegen</w:t>
      </w:r>
    </w:p>
    <w:p w:rsidR="00D261BF" w:rsidRPr="00B414AC" w:rsidRDefault="00D261BF" w:rsidP="00AD2572">
      <w:pPr>
        <w:rPr>
          <w:rFonts w:ascii="Verdana" w:hAnsi="Verdana"/>
          <w:szCs w:val="20"/>
        </w:rPr>
      </w:pPr>
      <w:r w:rsidRPr="00B414AC">
        <w:rPr>
          <w:rFonts w:ascii="Verdana" w:hAnsi="Verdana"/>
          <w:szCs w:val="20"/>
        </w:rPr>
        <w:t>Prof. Dr. J. Meulenbelt. Intensivist en Hoogleraar</w:t>
      </w:r>
      <w:r w:rsidR="00585822" w:rsidRPr="00B414AC">
        <w:rPr>
          <w:rFonts w:ascii="Verdana" w:hAnsi="Verdana"/>
          <w:szCs w:val="20"/>
        </w:rPr>
        <w:t xml:space="preserve"> K</w:t>
      </w:r>
      <w:r w:rsidRPr="00B414AC">
        <w:rPr>
          <w:rFonts w:ascii="Verdana" w:hAnsi="Verdana"/>
          <w:szCs w:val="20"/>
        </w:rPr>
        <w:t xml:space="preserve">linische Toxicologie </w:t>
      </w:r>
      <w:r w:rsidR="00585822" w:rsidRPr="00B414AC">
        <w:rPr>
          <w:rFonts w:ascii="Verdana" w:hAnsi="Verdana"/>
          <w:szCs w:val="20"/>
        </w:rPr>
        <w:t xml:space="preserve">aan de </w:t>
      </w:r>
      <w:r w:rsidRPr="00B414AC">
        <w:rPr>
          <w:rFonts w:ascii="Verdana" w:hAnsi="Verdana"/>
          <w:szCs w:val="20"/>
        </w:rPr>
        <w:t>Universiteit van Utrecht. Hoofd van het Nederlands vergiftigingen Informatie Centrum</w:t>
      </w:r>
      <w:r w:rsidR="00585822" w:rsidRPr="00B414AC">
        <w:rPr>
          <w:rFonts w:ascii="Verdana" w:hAnsi="Verdana"/>
          <w:szCs w:val="20"/>
        </w:rPr>
        <w:t>.</w:t>
      </w:r>
    </w:p>
    <w:p w:rsidR="00AD2572" w:rsidRPr="00B414AC" w:rsidRDefault="00AD2572" w:rsidP="00AD2572">
      <w:pPr>
        <w:jc w:val="both"/>
        <w:rPr>
          <w:rFonts w:ascii="Verdana" w:hAnsi="Verdana"/>
        </w:rPr>
      </w:pPr>
    </w:p>
    <w:p w:rsidR="00AD2572" w:rsidRPr="00B414AC" w:rsidRDefault="00AD2572" w:rsidP="00AD2572">
      <w:pPr>
        <w:jc w:val="both"/>
        <w:rPr>
          <w:rFonts w:ascii="Verdana" w:hAnsi="Verdana"/>
          <w:b/>
        </w:rPr>
      </w:pPr>
      <w:r w:rsidRPr="00B414AC">
        <w:rPr>
          <w:rFonts w:ascii="Verdana" w:hAnsi="Verdana"/>
          <w:b/>
        </w:rPr>
        <w:t>Revisie</w:t>
      </w:r>
    </w:p>
    <w:p w:rsidR="00AD2572" w:rsidRPr="00B414AC" w:rsidRDefault="00BC2087" w:rsidP="00AD2572">
      <w:pPr>
        <w:jc w:val="both"/>
        <w:rPr>
          <w:rFonts w:ascii="Verdana" w:hAnsi="Verdana"/>
        </w:rPr>
      </w:pPr>
      <w:r w:rsidRPr="00B414AC">
        <w:rPr>
          <w:rFonts w:ascii="Verdana" w:hAnsi="Verdana"/>
        </w:rPr>
        <w:t xml:space="preserve">Versie 1, </w:t>
      </w:r>
      <w:r w:rsidR="006653FE" w:rsidRPr="00B414AC">
        <w:rPr>
          <w:rFonts w:ascii="Verdana" w:hAnsi="Verdana"/>
        </w:rPr>
        <w:t>21</w:t>
      </w:r>
      <w:r w:rsidR="00AD2572" w:rsidRPr="00B414AC">
        <w:rPr>
          <w:rFonts w:ascii="Verdana" w:hAnsi="Verdana"/>
        </w:rPr>
        <w:t xml:space="preserve"> j</w:t>
      </w:r>
      <w:r w:rsidRPr="00B414AC">
        <w:rPr>
          <w:rFonts w:ascii="Verdana" w:hAnsi="Verdana"/>
        </w:rPr>
        <w:t>ul</w:t>
      </w:r>
      <w:r w:rsidR="00AD2572" w:rsidRPr="00B414AC">
        <w:rPr>
          <w:rFonts w:ascii="Verdana" w:hAnsi="Verdana"/>
        </w:rPr>
        <w:t>i 2011</w:t>
      </w:r>
    </w:p>
    <w:p w:rsidR="00AD2572" w:rsidRPr="00B414AC" w:rsidRDefault="00AD2572" w:rsidP="00AD2572">
      <w:pPr>
        <w:jc w:val="both"/>
        <w:rPr>
          <w:rFonts w:ascii="Verdana" w:hAnsi="Verdana"/>
          <w:b/>
        </w:rPr>
      </w:pPr>
    </w:p>
    <w:p w:rsidR="00AD2572" w:rsidRPr="00B414AC" w:rsidRDefault="00AD2572" w:rsidP="00AD2572">
      <w:pPr>
        <w:jc w:val="both"/>
        <w:rPr>
          <w:rFonts w:ascii="Verdana" w:hAnsi="Verdana"/>
          <w:b/>
          <w:sz w:val="24"/>
        </w:rPr>
      </w:pPr>
    </w:p>
    <w:p w:rsidR="00AD2572" w:rsidRPr="00B414AC" w:rsidRDefault="00AD2572" w:rsidP="00AD2572">
      <w:pPr>
        <w:jc w:val="both"/>
        <w:rPr>
          <w:rFonts w:ascii="Verdana" w:hAnsi="Verdana"/>
          <w:b/>
          <w:sz w:val="24"/>
        </w:rPr>
      </w:pPr>
      <w:r w:rsidRPr="00B414AC">
        <w:rPr>
          <w:rFonts w:ascii="Verdana" w:hAnsi="Verdana"/>
          <w:b/>
          <w:sz w:val="24"/>
        </w:rPr>
        <w:t>Bijlage I</w:t>
      </w:r>
    </w:p>
    <w:p w:rsidR="00AD2572" w:rsidRPr="00B414AC" w:rsidRDefault="00AD2572" w:rsidP="00AD2572">
      <w:pPr>
        <w:jc w:val="both"/>
        <w:rPr>
          <w:rFonts w:ascii="Verdana" w:hAnsi="Verdana"/>
          <w:u w:val="single"/>
        </w:rPr>
      </w:pPr>
    </w:p>
    <w:p w:rsidR="00AD2572" w:rsidRPr="00B414AC" w:rsidRDefault="00AD2572" w:rsidP="00AD2572">
      <w:pPr>
        <w:jc w:val="both"/>
        <w:rPr>
          <w:rFonts w:ascii="Verdana" w:hAnsi="Verdana"/>
          <w:u w:val="single"/>
        </w:rPr>
      </w:pPr>
      <w:r w:rsidRPr="00B414AC">
        <w:rPr>
          <w:rFonts w:ascii="Verdana" w:hAnsi="Verdana"/>
          <w:u w:val="single"/>
        </w:rPr>
        <w:t>Dimercaprol (B.A.L.</w:t>
      </w:r>
      <w:r w:rsidRPr="00B414AC">
        <w:rPr>
          <w:rFonts w:ascii="Verdana" w:hAnsi="Verdana"/>
          <w:u w:val="single"/>
          <w:vertAlign w:val="superscript"/>
        </w:rPr>
        <w:t>®</w:t>
      </w:r>
      <w:r w:rsidRPr="00B414AC">
        <w:rPr>
          <w:rFonts w:ascii="Verdana" w:hAnsi="Verdana"/>
          <w:u w:val="single"/>
        </w:rPr>
        <w:t xml:space="preserve"> of British anti-Lewisite)</w:t>
      </w:r>
    </w:p>
    <w:p w:rsidR="00AD2572" w:rsidRPr="00B414AC" w:rsidRDefault="00AD2572" w:rsidP="00AD2572">
      <w:pPr>
        <w:jc w:val="both"/>
        <w:rPr>
          <w:rFonts w:ascii="Verdana" w:hAnsi="Verdana"/>
        </w:rPr>
      </w:pPr>
      <w:r w:rsidRPr="00B414AC">
        <w:rPr>
          <w:rFonts w:ascii="Verdana" w:hAnsi="Verdana"/>
        </w:rPr>
        <w:t>Dimercaprol is de meest toxische chelator. In de Verenigde Staten wordt het bij voorkeur gebruikt in combinatie met CaNa2 EDTA, tijdens ernstige loodintoxicaties die vergezeld gaan met lood geïnduceerde encefalopathie. [6]</w:t>
      </w:r>
    </w:p>
    <w:p w:rsidR="00AD2572" w:rsidRPr="00B414AC" w:rsidRDefault="00AD2572" w:rsidP="00AD2572">
      <w:pPr>
        <w:jc w:val="both"/>
        <w:rPr>
          <w:rFonts w:ascii="Verdana" w:hAnsi="Verdana"/>
        </w:rPr>
      </w:pPr>
      <w:r w:rsidRPr="00B414AC">
        <w:rPr>
          <w:rFonts w:ascii="Verdana" w:hAnsi="Verdana"/>
        </w:rPr>
        <w:t xml:space="preserve">Dimercaprol is een olieachtige oplossing die intramusculair moet worden toegediend. De injecties zijn zeer pijnlijk. Bovendien is de werkingsduur kort en moeten de injecties om de vier uur worden herhaald.  </w:t>
      </w:r>
    </w:p>
    <w:p w:rsidR="00AD2572" w:rsidRPr="00B414AC" w:rsidRDefault="00AD2572" w:rsidP="00AD2572">
      <w:pPr>
        <w:numPr>
          <w:ilvl w:val="0"/>
          <w:numId w:val="30"/>
        </w:numPr>
        <w:jc w:val="both"/>
        <w:rPr>
          <w:rFonts w:ascii="Verdana" w:hAnsi="Verdana"/>
        </w:rPr>
      </w:pPr>
      <w:r w:rsidRPr="00B414AC">
        <w:rPr>
          <w:rFonts w:ascii="Verdana" w:hAnsi="Verdana"/>
        </w:rPr>
        <w:t>Dosering: de normale dosering voor zowel volwassenen als kinderen is 3-4 mg/kg iedere 4 uur, gedurende 5 dagen [3,9,10].</w:t>
      </w:r>
    </w:p>
    <w:p w:rsidR="00AD2572" w:rsidRPr="00B414AC" w:rsidRDefault="00AD2572" w:rsidP="00AD2572">
      <w:pPr>
        <w:numPr>
          <w:ilvl w:val="0"/>
          <w:numId w:val="30"/>
        </w:numPr>
        <w:jc w:val="both"/>
        <w:rPr>
          <w:rFonts w:ascii="Verdana" w:hAnsi="Verdana"/>
        </w:rPr>
      </w:pPr>
      <w:r w:rsidRPr="00B414AC">
        <w:rPr>
          <w:rFonts w:ascii="Verdana" w:hAnsi="Verdana"/>
        </w:rPr>
        <w:t>Contra-indicaties: het product bevat arachideolie en is dus gecontraindiceerd bij patiënten met een pinda-allergie. Bij patiënten bij g6pd-deficiëntie kan het hemolyse veroorzaken. [7]</w:t>
      </w:r>
    </w:p>
    <w:p w:rsidR="00AD2572" w:rsidRPr="00B414AC" w:rsidRDefault="00AD2572" w:rsidP="00AD2572">
      <w:pPr>
        <w:numPr>
          <w:ilvl w:val="0"/>
          <w:numId w:val="30"/>
        </w:numPr>
        <w:jc w:val="both"/>
        <w:rPr>
          <w:rFonts w:ascii="Verdana" w:hAnsi="Verdana"/>
        </w:rPr>
      </w:pPr>
      <w:r w:rsidRPr="00B414AC">
        <w:rPr>
          <w:rFonts w:ascii="Verdana" w:hAnsi="Verdana"/>
        </w:rPr>
        <w:t>Bijwerkingen: dimercaprol geeft veel bijwerkingen waaronder: misselijkheid, overgeven, hoofdpijn, hypertensie, tachcardie, brandend gevoel in de lippen, mond en keel, en milde tot matige leukopenie. [3,9]</w:t>
      </w:r>
    </w:p>
    <w:p w:rsidR="00AD2572" w:rsidRPr="00B414AC" w:rsidRDefault="00AD2572" w:rsidP="00AD2572">
      <w:pPr>
        <w:numPr>
          <w:ilvl w:val="0"/>
          <w:numId w:val="30"/>
        </w:numPr>
        <w:jc w:val="both"/>
        <w:rPr>
          <w:rFonts w:ascii="Verdana" w:hAnsi="Verdana"/>
          <w:szCs w:val="20"/>
        </w:rPr>
      </w:pPr>
      <w:r w:rsidRPr="00B414AC">
        <w:rPr>
          <w:rFonts w:ascii="Verdana" w:hAnsi="Verdana"/>
        </w:rPr>
        <w:t xml:space="preserve">Verkrijgbaarheid: via Added Pharma met artsenverklaring, ampullen, </w:t>
      </w:r>
      <w:r w:rsidRPr="00B414AC">
        <w:rPr>
          <w:rFonts w:ascii="Verdana" w:hAnsi="Verdana"/>
          <w:szCs w:val="20"/>
        </w:rPr>
        <w:t xml:space="preserve">200mg/2ml. </w:t>
      </w:r>
      <w:r w:rsidRPr="00B414AC">
        <w:rPr>
          <w:rFonts w:ascii="Verdana" w:hAnsi="Verdana"/>
        </w:rPr>
        <w:t>Levertijd ± 1 week.</w:t>
      </w:r>
    </w:p>
    <w:p w:rsidR="00AD2572" w:rsidRPr="00B414AC" w:rsidRDefault="00AD2572" w:rsidP="00AD2572">
      <w:pPr>
        <w:jc w:val="both"/>
        <w:rPr>
          <w:rFonts w:ascii="Verdana" w:hAnsi="Verdana"/>
          <w:u w:val="single"/>
        </w:rPr>
      </w:pPr>
    </w:p>
    <w:p w:rsidR="00AD2572" w:rsidRPr="00B414AC" w:rsidRDefault="00AD2572" w:rsidP="00AD2572">
      <w:pPr>
        <w:jc w:val="both"/>
        <w:rPr>
          <w:rFonts w:ascii="Verdana" w:hAnsi="Verdana"/>
          <w:u w:val="single"/>
        </w:rPr>
      </w:pPr>
      <w:r w:rsidRPr="00B414AC">
        <w:rPr>
          <w:rFonts w:ascii="Verdana" w:hAnsi="Verdana"/>
          <w:u w:val="single"/>
        </w:rPr>
        <w:t xml:space="preserve">CaNa2 EDTA (Calcium Edetate di Sodium, versenate) </w:t>
      </w:r>
    </w:p>
    <w:p w:rsidR="00AD2572" w:rsidRPr="00B414AC" w:rsidRDefault="00AD2572" w:rsidP="00AD2572">
      <w:pPr>
        <w:jc w:val="both"/>
        <w:rPr>
          <w:rFonts w:ascii="Verdana" w:hAnsi="Verdana"/>
        </w:rPr>
      </w:pPr>
      <w:r w:rsidRPr="00B414AC">
        <w:rPr>
          <w:rFonts w:ascii="Verdana" w:hAnsi="Verdana"/>
        </w:rPr>
        <w:t>De calcium component van CaNa2 EDTA wordt vervangen door lood en vormt zo een wateroplosbaar complex dat via de nieren wordt uitgescheiden. [7] CaNa2 EDTA wordt slecht opgenomen uit het maagdarmkanaal en wordt daarom altijd intraveneus toegediend. CaNa2 EDTA wordt niet gemetaboliseerd en wordt volledig renaal geklaard. De halfwaardetijd is ongeveer 20-60 minuten. Dosisaanpassing is nodig bij patiënten met een verminderde nierfunctie. [11]</w:t>
      </w:r>
    </w:p>
    <w:p w:rsidR="00AD2572" w:rsidRPr="00B414AC" w:rsidRDefault="00AD2572" w:rsidP="00AD2572">
      <w:pPr>
        <w:numPr>
          <w:ilvl w:val="0"/>
          <w:numId w:val="31"/>
        </w:numPr>
        <w:jc w:val="both"/>
        <w:rPr>
          <w:rFonts w:ascii="Verdana" w:hAnsi="Verdana"/>
        </w:rPr>
      </w:pPr>
      <w:r w:rsidRPr="00B414AC">
        <w:rPr>
          <w:rFonts w:ascii="Verdana" w:hAnsi="Verdana"/>
        </w:rPr>
        <w:t>Dosering: 1000-1500 mg/m</w:t>
      </w:r>
      <w:r w:rsidRPr="00B414AC">
        <w:rPr>
          <w:rFonts w:ascii="Verdana" w:hAnsi="Verdana"/>
          <w:vertAlign w:val="superscript"/>
        </w:rPr>
        <w:t>2</w:t>
      </w:r>
      <w:r w:rsidRPr="00B414AC">
        <w:rPr>
          <w:rFonts w:ascii="Verdana" w:hAnsi="Verdana"/>
        </w:rPr>
        <w:t>/dag als een continu infusie, (conc. 2-4 mg/l in NaCl 0.9% of glucose 5%), gedurende 5 dagen. [9, 10]</w:t>
      </w:r>
    </w:p>
    <w:p w:rsidR="00AD2572" w:rsidRPr="00B414AC" w:rsidRDefault="00AD2572" w:rsidP="00AD2572">
      <w:pPr>
        <w:numPr>
          <w:ilvl w:val="0"/>
          <w:numId w:val="31"/>
        </w:numPr>
        <w:jc w:val="both"/>
        <w:rPr>
          <w:rFonts w:ascii="Verdana" w:hAnsi="Verdana"/>
        </w:rPr>
      </w:pPr>
      <w:r w:rsidRPr="00B414AC">
        <w:rPr>
          <w:rFonts w:ascii="Verdana" w:hAnsi="Verdana"/>
        </w:rPr>
        <w:t>Bijwerkingen: één van de belangrijkste bijwerkingen is dosisafhankelijke, reversibele nefrotoxiciteit. Deze kan geminimaliseerd worden door goede hydratie en een maximale behandelduur van vijf dagen. Daarnaast komen voor moeheid, hoofdpijn, koorts, misselijkheid, myalgie en zinkdepletie.</w:t>
      </w:r>
    </w:p>
    <w:p w:rsidR="00AD2572" w:rsidRPr="00B414AC" w:rsidRDefault="00AD2572" w:rsidP="00AD2572">
      <w:pPr>
        <w:numPr>
          <w:ilvl w:val="0"/>
          <w:numId w:val="31"/>
        </w:numPr>
        <w:jc w:val="both"/>
        <w:rPr>
          <w:rFonts w:ascii="Verdana" w:hAnsi="Verdana"/>
        </w:rPr>
      </w:pPr>
      <w:r w:rsidRPr="00B414AC">
        <w:rPr>
          <w:rFonts w:ascii="Verdana" w:hAnsi="Verdana"/>
        </w:rPr>
        <w:lastRenderedPageBreak/>
        <w:t>Verkrijgbaarheid: Ledclair</w:t>
      </w:r>
      <w:r w:rsidRPr="00B414AC">
        <w:rPr>
          <w:rFonts w:ascii="Verdana" w:hAnsi="Verdana"/>
          <w:vertAlign w:val="superscript"/>
        </w:rPr>
        <w:t>®</w:t>
      </w:r>
      <w:r w:rsidRPr="00B414AC">
        <w:rPr>
          <w:rFonts w:ascii="Verdana" w:hAnsi="Verdana"/>
        </w:rPr>
        <w:t>, via de internationale apotheek.</w:t>
      </w:r>
    </w:p>
    <w:p w:rsidR="00AD2572" w:rsidRPr="00B414AC" w:rsidRDefault="00AD2572" w:rsidP="00AD2572">
      <w:pPr>
        <w:jc w:val="both"/>
        <w:rPr>
          <w:rFonts w:ascii="Verdana" w:hAnsi="Verdana"/>
        </w:rPr>
      </w:pPr>
    </w:p>
    <w:p w:rsidR="00AD2572" w:rsidRPr="00B414AC" w:rsidRDefault="00AD2572" w:rsidP="00AD2572">
      <w:pPr>
        <w:jc w:val="both"/>
        <w:rPr>
          <w:rFonts w:ascii="Verdana" w:hAnsi="Verdana"/>
        </w:rPr>
      </w:pPr>
      <w:r w:rsidRPr="00B414AC">
        <w:rPr>
          <w:rFonts w:ascii="Verdana" w:hAnsi="Verdana"/>
        </w:rPr>
        <w:t>Let op: CaNa2 EDTA moet niet verward worden met Natrium EDTA, omdat dit hypocalciemie kan geven.</w:t>
      </w:r>
    </w:p>
    <w:p w:rsidR="00AD2572" w:rsidRPr="00B414AC" w:rsidRDefault="00AD2572" w:rsidP="00AD2572">
      <w:pPr>
        <w:jc w:val="both"/>
        <w:rPr>
          <w:rFonts w:ascii="Verdana" w:hAnsi="Verdana"/>
        </w:rPr>
      </w:pPr>
    </w:p>
    <w:p w:rsidR="00AD2572" w:rsidRPr="00B414AC" w:rsidRDefault="00AD2572" w:rsidP="00AD2572">
      <w:pPr>
        <w:jc w:val="both"/>
        <w:rPr>
          <w:rFonts w:ascii="Verdana" w:hAnsi="Verdana"/>
          <w:u w:val="single"/>
        </w:rPr>
      </w:pPr>
      <w:r w:rsidRPr="00B414AC">
        <w:rPr>
          <w:rFonts w:ascii="Verdana" w:hAnsi="Verdana"/>
          <w:u w:val="single"/>
        </w:rPr>
        <w:t>Succimer (DMSA, Succicaptal</w:t>
      </w:r>
      <w:r w:rsidRPr="00B414AC">
        <w:rPr>
          <w:rFonts w:ascii="Verdana" w:hAnsi="Verdana"/>
          <w:u w:val="single"/>
          <w:vertAlign w:val="superscript"/>
        </w:rPr>
        <w:t>®</w:t>
      </w:r>
      <w:r w:rsidRPr="00B414AC">
        <w:rPr>
          <w:rFonts w:ascii="Verdana" w:hAnsi="Verdana"/>
          <w:u w:val="single"/>
        </w:rPr>
        <w:t>)</w:t>
      </w:r>
    </w:p>
    <w:p w:rsidR="00AD2572" w:rsidRPr="00B414AC" w:rsidRDefault="00AD2572" w:rsidP="00AD2572">
      <w:pPr>
        <w:jc w:val="both"/>
        <w:rPr>
          <w:rFonts w:ascii="Verdana" w:hAnsi="Verdana"/>
        </w:rPr>
      </w:pPr>
      <w:r w:rsidRPr="00B414AC">
        <w:rPr>
          <w:rFonts w:ascii="Verdana" w:hAnsi="Verdana"/>
        </w:rPr>
        <w:t>Succimer (DMSA) is een wateroplosbaar analoog van dimercaprol. Het wordt na orale toediening snel, maar variabel, geabsorbeerd. De halfwaardetijd is ongeveer 2-4 uur. Succimer wordt bijna volledig met de urine uitgescheiden, grotendeels als succimer-cysteine-disulfide. [3]</w:t>
      </w:r>
    </w:p>
    <w:p w:rsidR="00AD2572" w:rsidRPr="00B414AC" w:rsidRDefault="00AD2572" w:rsidP="00AD2572">
      <w:pPr>
        <w:numPr>
          <w:ilvl w:val="0"/>
          <w:numId w:val="32"/>
        </w:numPr>
        <w:jc w:val="both"/>
        <w:rPr>
          <w:rFonts w:ascii="Verdana" w:hAnsi="Verdana"/>
          <w:color w:val="000000"/>
        </w:rPr>
      </w:pPr>
      <w:r w:rsidRPr="00B414AC">
        <w:rPr>
          <w:rFonts w:ascii="Verdana" w:hAnsi="Verdana"/>
        </w:rPr>
        <w:t>Dosering: v</w:t>
      </w:r>
      <w:r w:rsidRPr="00B414AC">
        <w:rPr>
          <w:rFonts w:ascii="Verdana" w:hAnsi="Verdana"/>
          <w:color w:val="000000"/>
        </w:rPr>
        <w:t>olwassenen en kinderen ouder dan 1 jaar 10 mg/kg elke 8 uur gedurende 5 dagen, gevolgd door 10 mg/kg elke 12 uur gedurende 14 dagen. [7,9,12]</w:t>
      </w:r>
    </w:p>
    <w:p w:rsidR="00AD2572" w:rsidRPr="00B414AC" w:rsidRDefault="00AD2572" w:rsidP="00AD2572">
      <w:pPr>
        <w:numPr>
          <w:ilvl w:val="0"/>
          <w:numId w:val="32"/>
        </w:numPr>
        <w:jc w:val="both"/>
        <w:rPr>
          <w:rFonts w:ascii="Verdana" w:hAnsi="Verdana"/>
        </w:rPr>
      </w:pPr>
      <w:r w:rsidRPr="00B414AC">
        <w:rPr>
          <w:rFonts w:ascii="Verdana" w:hAnsi="Verdana"/>
        </w:rPr>
        <w:t>Bijwerkingen: &lt;10% misselijkheid, overgeven, diarree. Milde reversibele verhoging van de transaminasewaarden komt voor bij 4-10% van de patiënten. Overgevoeligheidsreacties zoals jeuk, huiduitslag en urticaria. [3,12]</w:t>
      </w:r>
    </w:p>
    <w:p w:rsidR="00AD2572" w:rsidRPr="00B414AC" w:rsidRDefault="00AD2572" w:rsidP="00AD2572">
      <w:pPr>
        <w:numPr>
          <w:ilvl w:val="0"/>
          <w:numId w:val="32"/>
        </w:numPr>
        <w:jc w:val="both"/>
        <w:rPr>
          <w:rFonts w:ascii="Verdana" w:hAnsi="Verdana"/>
        </w:rPr>
      </w:pPr>
      <w:r w:rsidRPr="00B414AC">
        <w:rPr>
          <w:rFonts w:ascii="Verdana" w:hAnsi="Verdana"/>
        </w:rPr>
        <w:t>Verkrijgbaarheid: via Added Pharma met artsenverklaring, capsules 200mg. Levertijd ± 1 week.</w:t>
      </w:r>
    </w:p>
    <w:p w:rsidR="00AD2572" w:rsidRPr="00B414AC" w:rsidRDefault="00AD2572" w:rsidP="00AD2572">
      <w:pPr>
        <w:jc w:val="both"/>
        <w:rPr>
          <w:rFonts w:ascii="Verdana" w:hAnsi="Verdana"/>
        </w:rPr>
      </w:pPr>
    </w:p>
    <w:p w:rsidR="00AD2572" w:rsidRPr="00B414AC" w:rsidRDefault="00AD2572" w:rsidP="00AD2572">
      <w:pPr>
        <w:jc w:val="both"/>
        <w:rPr>
          <w:rFonts w:ascii="Verdana" w:hAnsi="Verdana"/>
          <w:u w:val="single"/>
        </w:rPr>
      </w:pPr>
      <w:r w:rsidRPr="00B414AC">
        <w:rPr>
          <w:rFonts w:ascii="Verdana" w:hAnsi="Verdana"/>
          <w:u w:val="single"/>
        </w:rPr>
        <w:t>Unithiol (DMPS, Dimaval</w:t>
      </w:r>
      <w:r w:rsidRPr="00B414AC">
        <w:rPr>
          <w:rFonts w:ascii="Verdana" w:hAnsi="Verdana"/>
          <w:u w:val="single"/>
          <w:vertAlign w:val="superscript"/>
        </w:rPr>
        <w:t>®</w:t>
      </w:r>
      <w:r w:rsidRPr="00B414AC">
        <w:rPr>
          <w:rFonts w:ascii="Verdana" w:hAnsi="Verdana"/>
          <w:u w:val="single"/>
        </w:rPr>
        <w:t>)</w:t>
      </w:r>
    </w:p>
    <w:p w:rsidR="00AD2572" w:rsidRPr="00B414AC" w:rsidRDefault="00AD2572" w:rsidP="00AD2572">
      <w:pPr>
        <w:jc w:val="both"/>
        <w:rPr>
          <w:rFonts w:ascii="Verdana" w:hAnsi="Verdana"/>
        </w:rPr>
      </w:pPr>
      <w:r w:rsidRPr="00B414AC">
        <w:rPr>
          <w:rFonts w:ascii="Verdana" w:hAnsi="Verdana"/>
        </w:rPr>
        <w:t xml:space="preserve">Unithiol (DMPS) is een wateroplosbaar analoog van dimercaprol die zowel in orale als parenterale vorm beschikbaar is. </w:t>
      </w:r>
      <w:r w:rsidRPr="00B414AC">
        <w:rPr>
          <w:rFonts w:ascii="Verdana" w:hAnsi="Verdana"/>
          <w:color w:val="000000"/>
          <w:szCs w:val="20"/>
        </w:rPr>
        <w:t xml:space="preserve">In tegenstelling tot dimercaprol, succimer en </w:t>
      </w:r>
      <w:r w:rsidRPr="00B414AC">
        <w:rPr>
          <w:rFonts w:ascii="Verdana" w:hAnsi="Verdana"/>
        </w:rPr>
        <w:t>CaNa2 EDTA</w:t>
      </w:r>
      <w:r w:rsidRPr="00B414AC">
        <w:rPr>
          <w:rFonts w:ascii="Verdana" w:hAnsi="Verdana"/>
          <w:color w:val="000000"/>
          <w:szCs w:val="20"/>
        </w:rPr>
        <w:t xml:space="preserve"> bindt het ook de zware metalen die intracellulair aanwezig zijn. Dit laatste is een belangrijke eigenschap en een voordeel t.o.v. de andere chelatoren.</w:t>
      </w:r>
    </w:p>
    <w:p w:rsidR="00AD2572" w:rsidRPr="00B414AC" w:rsidRDefault="00AD2572" w:rsidP="00AD2572">
      <w:pPr>
        <w:numPr>
          <w:ilvl w:val="0"/>
          <w:numId w:val="33"/>
        </w:numPr>
        <w:rPr>
          <w:rFonts w:ascii="Verdana" w:hAnsi="Verdana"/>
          <w:color w:val="000000"/>
          <w:szCs w:val="20"/>
          <w:lang w:eastAsia="nl-NL"/>
        </w:rPr>
      </w:pPr>
      <w:r w:rsidRPr="00B414AC">
        <w:rPr>
          <w:rFonts w:ascii="Verdana" w:hAnsi="Verdana"/>
          <w:iCs/>
          <w:color w:val="000000"/>
          <w:lang w:eastAsia="nl-NL"/>
        </w:rPr>
        <w:t xml:space="preserve">Dosering bij acute intoxicatie: volwassenen </w:t>
      </w:r>
      <w:r w:rsidRPr="00B414AC">
        <w:rPr>
          <w:rFonts w:ascii="Verdana" w:hAnsi="Verdana"/>
          <w:bCs/>
          <w:color w:val="000000"/>
          <w:lang w:eastAsia="nl-NL"/>
        </w:rPr>
        <w:t>intraveneus</w:t>
      </w:r>
      <w:r w:rsidRPr="00B414AC">
        <w:rPr>
          <w:rFonts w:ascii="Verdana" w:hAnsi="Verdana"/>
          <w:color w:val="000000"/>
          <w:szCs w:val="20"/>
          <w:lang w:eastAsia="nl-NL"/>
        </w:rPr>
        <w:t xml:space="preserve">: </w:t>
      </w:r>
      <w:r w:rsidRPr="00B414AC">
        <w:rPr>
          <w:rFonts w:ascii="Verdana" w:hAnsi="Verdana"/>
        </w:rPr>
        <w:t>dag 1: 250 mg elke 3-4 uur. Dag 2: 250 mg elke 4-6 uur. Dag 3: 250 mg elke 6-8 uur. Dag 4: 250 mg elke 8-12 uur. Vanaf dag 5 afhankelijk van de toestand van de patiënt 250 mg 1-3 x per dag. [6,12]</w:t>
      </w:r>
      <w:r w:rsidRPr="00B414AC">
        <w:rPr>
          <w:rFonts w:ascii="Verdana" w:hAnsi="Verdana"/>
          <w:color w:val="000000"/>
          <w:szCs w:val="20"/>
          <w:lang w:eastAsia="nl-NL"/>
        </w:rPr>
        <w:t xml:space="preserve"> </w:t>
      </w:r>
    </w:p>
    <w:p w:rsidR="00AD2572" w:rsidRPr="00B414AC" w:rsidRDefault="00AD2572" w:rsidP="00AD2572">
      <w:pPr>
        <w:numPr>
          <w:ilvl w:val="0"/>
          <w:numId w:val="33"/>
        </w:numPr>
        <w:rPr>
          <w:rFonts w:ascii="Verdana" w:hAnsi="Verdana"/>
          <w:color w:val="000000"/>
          <w:szCs w:val="20"/>
          <w:lang w:eastAsia="nl-NL"/>
        </w:rPr>
      </w:pPr>
      <w:r w:rsidRPr="00B414AC">
        <w:rPr>
          <w:rFonts w:ascii="Verdana" w:hAnsi="Verdana"/>
        </w:rPr>
        <w:t>Dosering bij acute intoxicatie: kinderen intraveneus: dag 1: 5 mg/kg langzaam i.v. om de 4 uur. Dag 2: 5 mg/kg langzaam i.v. om de 6 uur. Dag 3: 5 mg/kg langzaam i.v. om de 8 uur. Vanaf de 4</w:t>
      </w:r>
      <w:r w:rsidRPr="00B414AC">
        <w:rPr>
          <w:rFonts w:ascii="Verdana" w:hAnsi="Verdana"/>
          <w:vertAlign w:val="superscript"/>
        </w:rPr>
        <w:t>e</w:t>
      </w:r>
      <w:r w:rsidRPr="00B414AC">
        <w:rPr>
          <w:rFonts w:ascii="Verdana" w:hAnsi="Verdana"/>
        </w:rPr>
        <w:t xml:space="preserve"> dag: 5 mg/kg/dag langzaam i.v. of oraal. [6]</w:t>
      </w:r>
    </w:p>
    <w:p w:rsidR="00AD2572" w:rsidRPr="00B414AC" w:rsidRDefault="00AD2572" w:rsidP="00AD2572">
      <w:pPr>
        <w:numPr>
          <w:ilvl w:val="0"/>
          <w:numId w:val="33"/>
        </w:numPr>
        <w:rPr>
          <w:rFonts w:ascii="Verdana" w:hAnsi="Verdana"/>
          <w:color w:val="000000"/>
          <w:szCs w:val="20"/>
          <w:lang w:eastAsia="nl-NL"/>
        </w:rPr>
      </w:pPr>
      <w:r w:rsidRPr="00B414AC">
        <w:rPr>
          <w:rFonts w:ascii="Verdana" w:hAnsi="Verdana"/>
          <w:iCs/>
          <w:color w:val="000000"/>
          <w:lang w:eastAsia="nl-NL"/>
        </w:rPr>
        <w:t xml:space="preserve">Dosering bij acute intoxicatie: volwassenen </w:t>
      </w:r>
      <w:r w:rsidRPr="00B414AC">
        <w:rPr>
          <w:rFonts w:ascii="Verdana" w:hAnsi="Verdana"/>
          <w:bCs/>
          <w:color w:val="000000"/>
          <w:lang w:eastAsia="nl-NL"/>
        </w:rPr>
        <w:t>oraal</w:t>
      </w:r>
      <w:r w:rsidRPr="00B414AC">
        <w:rPr>
          <w:rFonts w:ascii="Verdana" w:hAnsi="Verdana"/>
          <w:color w:val="000000"/>
          <w:szCs w:val="20"/>
          <w:lang w:eastAsia="nl-NL"/>
        </w:rPr>
        <w:t>: aanvankelijk 100mg elke 1-2 uur ten minste 1 uur voor het eten, vanaf dag 5 250 mg 1-3 x per dag.</w:t>
      </w:r>
    </w:p>
    <w:p w:rsidR="00AD2572" w:rsidRPr="00B414AC" w:rsidRDefault="00AD2572" w:rsidP="00AD2572">
      <w:pPr>
        <w:numPr>
          <w:ilvl w:val="0"/>
          <w:numId w:val="33"/>
        </w:numPr>
        <w:rPr>
          <w:rFonts w:ascii="Verdana" w:hAnsi="Verdana"/>
          <w:color w:val="000000"/>
          <w:szCs w:val="20"/>
          <w:lang w:eastAsia="nl-NL"/>
        </w:rPr>
      </w:pPr>
      <w:r w:rsidRPr="00B414AC">
        <w:rPr>
          <w:rFonts w:ascii="Verdana" w:hAnsi="Verdana"/>
          <w:color w:val="000000"/>
          <w:szCs w:val="20"/>
          <w:lang w:eastAsia="nl-NL"/>
        </w:rPr>
        <w:t>Dosering bij chronische intoxicatie, volwassen oraal: 100mg 3-4 x per dag ten minste 1 uur voor het eten. [7,12]</w:t>
      </w:r>
    </w:p>
    <w:p w:rsidR="00AD2572" w:rsidRPr="00B414AC" w:rsidRDefault="00AD2572" w:rsidP="00AD2572">
      <w:pPr>
        <w:ind w:left="708"/>
        <w:rPr>
          <w:rFonts w:ascii="Verdana" w:hAnsi="Verdana"/>
          <w:color w:val="000000"/>
          <w:szCs w:val="20"/>
          <w:lang w:eastAsia="nl-NL"/>
        </w:rPr>
      </w:pPr>
      <w:r w:rsidRPr="00B414AC">
        <w:rPr>
          <w:rFonts w:ascii="Verdana" w:hAnsi="Verdana"/>
          <w:color w:val="000000"/>
          <w:szCs w:val="20"/>
          <w:lang w:eastAsia="nl-NL"/>
        </w:rPr>
        <w:t xml:space="preserve">Dosering bij chronische intoxicatie, kinderen oraal, </w:t>
      </w:r>
      <w:r w:rsidRPr="00B414AC">
        <w:rPr>
          <w:rFonts w:ascii="Verdana" w:hAnsi="Verdana"/>
        </w:rPr>
        <w:t>startdosis oraal 20-30 mg/kg/dag, verdeeld in 1 à 3 doses ten minste 1 uur voor het eten, onderhoudsdosis: 1,5 tot 15 mg/kg/dag. [6]</w:t>
      </w:r>
    </w:p>
    <w:p w:rsidR="00AD2572" w:rsidRPr="00B414AC" w:rsidRDefault="00AD2572" w:rsidP="00AD2572">
      <w:pPr>
        <w:numPr>
          <w:ilvl w:val="0"/>
          <w:numId w:val="33"/>
        </w:numPr>
        <w:jc w:val="both"/>
        <w:rPr>
          <w:rFonts w:ascii="Verdana" w:hAnsi="Verdana"/>
          <w:szCs w:val="20"/>
        </w:rPr>
      </w:pPr>
      <w:r w:rsidRPr="00B414AC">
        <w:rPr>
          <w:rFonts w:ascii="Verdana" w:hAnsi="Verdana"/>
          <w:szCs w:val="20"/>
        </w:rPr>
        <w:t>Bijwerkingen: koude rillingen, koorts, overgevoeligheidsreacties, zoals jeuk of exantheem, kunnen optreden.</w:t>
      </w:r>
    </w:p>
    <w:p w:rsidR="00AD2572" w:rsidRPr="00B414AC" w:rsidRDefault="00AD2572" w:rsidP="00AD2572">
      <w:pPr>
        <w:numPr>
          <w:ilvl w:val="0"/>
          <w:numId w:val="33"/>
        </w:numPr>
        <w:jc w:val="both"/>
        <w:rPr>
          <w:rFonts w:ascii="Verdana" w:hAnsi="Verdana"/>
          <w:szCs w:val="20"/>
        </w:rPr>
      </w:pPr>
      <w:r w:rsidRPr="00B414AC">
        <w:rPr>
          <w:rFonts w:ascii="Verdana" w:hAnsi="Verdana"/>
          <w:szCs w:val="20"/>
        </w:rPr>
        <w:t xml:space="preserve">Verkrijgbaarheid: via de internationale apotheek, </w:t>
      </w:r>
      <w:r w:rsidRPr="00B414AC">
        <w:rPr>
          <w:rFonts w:ascii="Verdana" w:hAnsi="Verdana" w:cs="Arial"/>
          <w:szCs w:val="20"/>
        </w:rPr>
        <w:t>Dimaval DMPS 100 mg capsules, levertijd ± 1 week.</w:t>
      </w:r>
    </w:p>
    <w:p w:rsidR="00AD2572" w:rsidRPr="00B414AC" w:rsidRDefault="00AD2572" w:rsidP="00AD2572">
      <w:pPr>
        <w:jc w:val="both"/>
        <w:rPr>
          <w:rFonts w:ascii="Verdana" w:hAnsi="Verdana" w:cs="Arial"/>
          <w:szCs w:val="20"/>
        </w:rPr>
      </w:pPr>
    </w:p>
    <w:p w:rsidR="00AD2572" w:rsidRPr="00B414AC" w:rsidRDefault="00AD2572" w:rsidP="00AD2572">
      <w:pPr>
        <w:pBdr>
          <w:bottom w:val="single" w:sz="6" w:space="1" w:color="auto"/>
        </w:pBdr>
        <w:jc w:val="center"/>
        <w:rPr>
          <w:rFonts w:ascii="Verdana" w:hAnsi="Verdana" w:cs="Arial"/>
          <w:vanish/>
          <w:sz w:val="16"/>
          <w:szCs w:val="16"/>
          <w:lang w:eastAsia="nl-NL"/>
        </w:rPr>
      </w:pPr>
      <w:r w:rsidRPr="00B414AC">
        <w:rPr>
          <w:rFonts w:ascii="Verdana" w:hAnsi="Verdana" w:cs="Arial"/>
          <w:vanish/>
          <w:sz w:val="16"/>
          <w:szCs w:val="16"/>
          <w:lang w:eastAsia="nl-NL"/>
        </w:rPr>
        <w:lastRenderedPageBreak/>
        <w:t>Bovenkant formulier</w:t>
      </w:r>
    </w:p>
    <w:p w:rsidR="00AD2572" w:rsidRPr="00B414AC" w:rsidRDefault="00AD2572" w:rsidP="00AD2572">
      <w:pPr>
        <w:pBdr>
          <w:top w:val="single" w:sz="6" w:space="1" w:color="auto"/>
        </w:pBdr>
        <w:jc w:val="center"/>
        <w:rPr>
          <w:rFonts w:ascii="Verdana" w:hAnsi="Verdana" w:cs="Arial"/>
          <w:vanish/>
          <w:sz w:val="16"/>
          <w:szCs w:val="16"/>
          <w:lang w:eastAsia="nl-NL"/>
        </w:rPr>
      </w:pPr>
      <w:r w:rsidRPr="00B414AC">
        <w:rPr>
          <w:rFonts w:ascii="Verdana" w:hAnsi="Verdana" w:cs="Arial"/>
          <w:vanish/>
          <w:sz w:val="16"/>
          <w:szCs w:val="16"/>
          <w:lang w:eastAsia="nl-NL"/>
        </w:rPr>
        <w:t>Onderkant formulier</w:t>
      </w:r>
    </w:p>
    <w:p w:rsidR="00AD2572" w:rsidRPr="00B414AC" w:rsidRDefault="00AD2572" w:rsidP="00AD2572">
      <w:pPr>
        <w:jc w:val="both"/>
        <w:rPr>
          <w:rFonts w:ascii="Verdana" w:hAnsi="Verdana"/>
          <w:u w:val="single"/>
        </w:rPr>
      </w:pPr>
      <w:r w:rsidRPr="00B414AC">
        <w:rPr>
          <w:rFonts w:ascii="Verdana" w:hAnsi="Verdana"/>
          <w:u w:val="single"/>
        </w:rPr>
        <w:t>D-penicillamine</w:t>
      </w:r>
    </w:p>
    <w:p w:rsidR="00AD2572" w:rsidRPr="00B414AC" w:rsidRDefault="00AD2572" w:rsidP="00AD2572">
      <w:pPr>
        <w:jc w:val="both"/>
        <w:rPr>
          <w:rFonts w:ascii="Verdana" w:hAnsi="Verdana"/>
          <w:color w:val="000000"/>
        </w:rPr>
      </w:pPr>
      <w:r w:rsidRPr="00B414AC">
        <w:rPr>
          <w:rFonts w:ascii="Verdana" w:hAnsi="Verdana"/>
          <w:color w:val="000000"/>
        </w:rPr>
        <w:t>Penicillamine wordt na orale toediening voor 40-70% geabsorbeerd. De maximale plasmaconcentratie wordt na 1-3 uur bereikt. Voedsel vermindert de absorptie.</w:t>
      </w:r>
    </w:p>
    <w:p w:rsidR="00AD2572" w:rsidRPr="00B414AC" w:rsidRDefault="00AD2572" w:rsidP="00AD2572">
      <w:pPr>
        <w:numPr>
          <w:ilvl w:val="0"/>
          <w:numId w:val="34"/>
        </w:numPr>
        <w:jc w:val="both"/>
        <w:rPr>
          <w:rFonts w:ascii="Verdana" w:hAnsi="Verdana"/>
        </w:rPr>
      </w:pPr>
      <w:r w:rsidRPr="00B414AC">
        <w:rPr>
          <w:rFonts w:ascii="Verdana" w:hAnsi="Verdana"/>
          <w:color w:val="000000"/>
        </w:rPr>
        <w:t>Dosering: volwassenen 1-</w:t>
      </w:r>
      <w:smartTag w:uri="urn:schemas-microsoft-com:office:smarttags" w:element="metricconverter">
        <w:smartTagPr>
          <w:attr w:name="ProductID" w:val="2 g"/>
        </w:smartTagPr>
        <w:r w:rsidRPr="00B414AC">
          <w:rPr>
            <w:rFonts w:ascii="Verdana" w:hAnsi="Verdana"/>
            <w:color w:val="000000"/>
          </w:rPr>
          <w:t>2 g</w:t>
        </w:r>
      </w:smartTag>
      <w:r w:rsidRPr="00B414AC">
        <w:rPr>
          <w:rFonts w:ascii="Verdana" w:hAnsi="Verdana"/>
          <w:color w:val="000000"/>
        </w:rPr>
        <w:t xml:space="preserve"> in 3-4 doses en kinderen 20-30 mg/kg/dag in 3-4 doses. [3,7]</w:t>
      </w:r>
    </w:p>
    <w:p w:rsidR="00AD2572" w:rsidRPr="00B414AC" w:rsidRDefault="00AD2572" w:rsidP="00AD2572">
      <w:pPr>
        <w:numPr>
          <w:ilvl w:val="0"/>
          <w:numId w:val="34"/>
        </w:numPr>
        <w:rPr>
          <w:rFonts w:ascii="Verdana" w:hAnsi="Verdana"/>
          <w:color w:val="000000"/>
          <w:szCs w:val="20"/>
          <w:lang w:eastAsia="nl-NL"/>
        </w:rPr>
      </w:pPr>
      <w:r w:rsidRPr="00B414AC">
        <w:rPr>
          <w:rFonts w:ascii="Verdana" w:hAnsi="Verdana"/>
          <w:color w:val="000000"/>
        </w:rPr>
        <w:t>Contra-indicaties:</w:t>
      </w:r>
      <w:r w:rsidRPr="00B414AC">
        <w:rPr>
          <w:rFonts w:ascii="Verdana" w:hAnsi="Verdana"/>
          <w:color w:val="000000"/>
          <w:szCs w:val="20"/>
        </w:rPr>
        <w:t xml:space="preserve"> </w:t>
      </w:r>
      <w:r w:rsidRPr="00B414AC">
        <w:rPr>
          <w:rFonts w:ascii="Verdana" w:hAnsi="Verdana"/>
          <w:color w:val="000000"/>
          <w:szCs w:val="20"/>
          <w:lang w:eastAsia="nl-NL"/>
        </w:rPr>
        <w:t>overgevoeligheid, aplastische anemie of agranulocytose t.g.v. penicillamine in de anamnese, verminderde nierfunctie en myasthenia gravis.</w:t>
      </w:r>
    </w:p>
    <w:p w:rsidR="00AD2572" w:rsidRPr="00B414AC" w:rsidRDefault="00AD2572" w:rsidP="00AD2572">
      <w:pPr>
        <w:numPr>
          <w:ilvl w:val="0"/>
          <w:numId w:val="34"/>
        </w:numPr>
        <w:rPr>
          <w:rFonts w:ascii="Verdana" w:hAnsi="Verdana"/>
          <w:color w:val="000000"/>
          <w:szCs w:val="20"/>
          <w:lang w:eastAsia="nl-NL"/>
        </w:rPr>
      </w:pPr>
      <w:r w:rsidRPr="00B414AC">
        <w:rPr>
          <w:rFonts w:ascii="Verdana" w:hAnsi="Verdana"/>
          <w:color w:val="000000"/>
        </w:rPr>
        <w:t xml:space="preserve">Bijwerkingen: </w:t>
      </w:r>
      <w:r w:rsidRPr="00B414AC">
        <w:rPr>
          <w:rFonts w:ascii="Verdana" w:hAnsi="Verdana"/>
          <w:color w:val="000000"/>
          <w:szCs w:val="20"/>
          <w:lang w:eastAsia="nl-NL"/>
        </w:rPr>
        <w:t>&gt; 10% vroege allergische huidreacties en late allergische huidreacties (na een half jaar of nog later). De huidreacties kunnen gepaard gaan met koorts, gewrichtspijn en lymfadenopathie. &lt; 10% bloedbeeldafwijkingen, zoals leukopenie, trombocytopenie, hemolytische anemie, monocytose, leukocytose, eosinofilie en trombocytose. Proteïnurie, koorts, lupusachtig syndroom, pemphigus, artritis, misselijkheid, braken, buikpijn, diarree, ulceraties in de mond, fissuren rond de mond en voorbijgaand verlies van smaak. [12]</w:t>
      </w:r>
    </w:p>
    <w:p w:rsidR="00AD2572" w:rsidRPr="00B414AC" w:rsidRDefault="00AD2572" w:rsidP="00AD2572">
      <w:pPr>
        <w:numPr>
          <w:ilvl w:val="0"/>
          <w:numId w:val="33"/>
        </w:numPr>
        <w:jc w:val="both"/>
        <w:rPr>
          <w:rFonts w:ascii="Verdana" w:hAnsi="Verdana"/>
          <w:color w:val="000000"/>
        </w:rPr>
      </w:pPr>
      <w:r w:rsidRPr="00B414AC">
        <w:rPr>
          <w:rFonts w:ascii="Verdana" w:hAnsi="Verdana"/>
          <w:color w:val="000000"/>
          <w:szCs w:val="20"/>
          <w:lang w:eastAsia="nl-NL"/>
        </w:rPr>
        <w:t xml:space="preserve">Verkrijgbaarheid: </w:t>
      </w:r>
      <w:r w:rsidRPr="00B414AC">
        <w:rPr>
          <w:rFonts w:ascii="Verdana" w:hAnsi="Verdana"/>
          <w:szCs w:val="20"/>
          <w:lang w:eastAsia="nl-NL"/>
        </w:rPr>
        <w:t>g</w:t>
      </w:r>
      <w:r w:rsidRPr="00B414AC">
        <w:rPr>
          <w:rFonts w:ascii="Verdana" w:hAnsi="Verdana"/>
          <w:color w:val="000000"/>
          <w:szCs w:val="20"/>
          <w:lang w:eastAsia="nl-NL"/>
        </w:rPr>
        <w:t>rondstof bij Duchefa pharma en Fagron.</w:t>
      </w:r>
    </w:p>
    <w:p w:rsidR="00AD2572" w:rsidRPr="00B414AC" w:rsidRDefault="00AD2572" w:rsidP="00AD2572">
      <w:pPr>
        <w:ind w:left="1068"/>
        <w:rPr>
          <w:rFonts w:ascii="Verdana" w:hAnsi="Verdana"/>
          <w:color w:val="000000"/>
          <w:szCs w:val="20"/>
          <w:lang w:eastAsia="nl-NL"/>
        </w:rPr>
      </w:pPr>
    </w:p>
    <w:p w:rsidR="00AD2572" w:rsidRPr="00B414AC" w:rsidRDefault="00AD2572" w:rsidP="00AD2572">
      <w:pPr>
        <w:jc w:val="both"/>
        <w:rPr>
          <w:rFonts w:ascii="Verdana" w:hAnsi="Verdana"/>
        </w:rPr>
      </w:pPr>
      <w:r w:rsidRPr="00B414AC">
        <w:rPr>
          <w:rFonts w:ascii="Verdana" w:hAnsi="Verdana"/>
        </w:rPr>
        <w:t>In Nederland is alleen d-penicillamine geregistreerd bij loodintoxicaties. D-Penicillamine is in vergelijking tot bv. succimer of unithiol minder effectief en wordt vooral vanwege zijn talrijke, soms zeer ernstige bijwerkingen, waaronder levensbedreigende hematologische stoornissen, reversibele maar ernstige dermatologische en nefrotoxiciteit niet meer aanbevolen. [6]</w:t>
      </w:r>
    </w:p>
    <w:p w:rsidR="00AD2572" w:rsidRPr="00B414AC" w:rsidRDefault="00AD2572" w:rsidP="00AD2572">
      <w:pPr>
        <w:rPr>
          <w:rFonts w:ascii="Verdana" w:hAnsi="Verdana"/>
        </w:rPr>
      </w:pPr>
    </w:p>
    <w:p w:rsidR="00AD2572" w:rsidRPr="00B414AC" w:rsidRDefault="00AD2572" w:rsidP="00AD2572">
      <w:pPr>
        <w:ind w:left="360"/>
        <w:jc w:val="both"/>
        <w:rPr>
          <w:rFonts w:ascii="Verdana" w:hAnsi="Verdana"/>
          <w:szCs w:val="20"/>
          <w:u w:val="single"/>
        </w:rPr>
      </w:pPr>
    </w:p>
    <w:p w:rsidR="00AD2572" w:rsidRPr="00B414AC" w:rsidRDefault="00AD2572" w:rsidP="00AD2572">
      <w:pPr>
        <w:rPr>
          <w:rFonts w:ascii="Verdana" w:hAnsi="Verdana"/>
        </w:rPr>
      </w:pPr>
    </w:p>
    <w:p w:rsidR="008D43F9" w:rsidRPr="00B414AC" w:rsidRDefault="008D43F9" w:rsidP="00AD2572">
      <w:pPr>
        <w:rPr>
          <w:rFonts w:ascii="Verdana" w:hAnsi="Verdana"/>
        </w:rPr>
      </w:pPr>
    </w:p>
    <w:sectPr w:rsidR="008D43F9" w:rsidRPr="00B414AC" w:rsidSect="00AD2572">
      <w:headerReference w:type="default" r:id="rId7"/>
      <w:footerReference w:type="default" r:id="rId8"/>
      <w:pgSz w:w="12240" w:h="15840"/>
      <w:pgMar w:top="22" w:right="1800" w:bottom="1440" w:left="180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4378" w:rsidRDefault="00A74378">
      <w:r>
        <w:separator/>
      </w:r>
    </w:p>
  </w:endnote>
  <w:endnote w:type="continuationSeparator" w:id="0">
    <w:p w:rsidR="00A74378" w:rsidRDefault="00A743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HelveticaNeue-Roman">
    <w:panose1 w:val="00000000000000000000"/>
    <w:charset w:val="00"/>
    <w:family w:val="swiss"/>
    <w:notTrueType/>
    <w:pitch w:val="default"/>
    <w:sig w:usb0="00000003" w:usb1="00000000" w:usb2="00000000" w:usb3="00000000" w:csb0="00000001" w:csb1="00000000"/>
  </w:font>
  <w:font w:name="Quadraat-Regular">
    <w:panose1 w:val="00000000000000000000"/>
    <w:charset w:val="00"/>
    <w:family w:val="auto"/>
    <w:notTrueType/>
    <w:pitch w:val="default"/>
    <w:sig w:usb0="00000003" w:usb1="00000000" w:usb2="00000000" w:usb3="00000000" w:csb0="00000001" w:csb1="00000000"/>
  </w:font>
  <w:font w:name="TimesNewRomanPS">
    <w:panose1 w:val="00000000000000000000"/>
    <w:charset w:val="00"/>
    <w:family w:val="roman"/>
    <w:notTrueType/>
    <w:pitch w:val="default"/>
    <w:sig w:usb0="00000003" w:usb1="00000000" w:usb2="00000000" w:usb3="00000000" w:csb0="00000001" w:csb1="00000000"/>
  </w:font>
  <w:font w:name="TimesNewRomanPS-Italic">
    <w:panose1 w:val="00000000000000000000"/>
    <w:charset w:val="00"/>
    <w:family w:val="roman"/>
    <w:notTrueType/>
    <w:pitch w:val="default"/>
    <w:sig w:usb0="00000003" w:usb1="00000000" w:usb2="00000000" w:usb3="00000000" w:csb0="00000001" w:csb1="00000000"/>
  </w:font>
  <w:font w:name="TimesNewRomanPS-Bold">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2572" w:rsidRDefault="00BC2087" w:rsidP="00660481">
    <w:pPr>
      <w:pStyle w:val="Footer"/>
      <w:pBdr>
        <w:top w:val="single" w:sz="4" w:space="1" w:color="auto"/>
      </w:pBdr>
    </w:pPr>
    <w:r>
      <w:t>M</w:t>
    </w:r>
    <w:r w:rsidR="00F97BB2">
      <w:t>onografie lood – versie 20110721</w:t>
    </w:r>
    <w:r w:rsidR="00AD2572">
      <w:tab/>
    </w:r>
    <w:r w:rsidR="00AD2572">
      <w:tab/>
      <w:t xml:space="preserve">Pagina </w:t>
    </w:r>
    <w:r w:rsidR="00AD2572">
      <w:rPr>
        <w:rStyle w:val="PageNumber"/>
      </w:rPr>
      <w:fldChar w:fldCharType="begin"/>
    </w:r>
    <w:r w:rsidR="00AD2572">
      <w:rPr>
        <w:rStyle w:val="PageNumber"/>
      </w:rPr>
      <w:instrText xml:space="preserve"> PAGE </w:instrText>
    </w:r>
    <w:r w:rsidR="00AD2572">
      <w:rPr>
        <w:rStyle w:val="PageNumber"/>
      </w:rPr>
      <w:fldChar w:fldCharType="separate"/>
    </w:r>
    <w:r w:rsidR="00BA0B2F">
      <w:rPr>
        <w:rStyle w:val="PageNumber"/>
        <w:noProof/>
      </w:rPr>
      <w:t>1</w:t>
    </w:r>
    <w:r w:rsidR="00AD2572">
      <w:rPr>
        <w:rStyle w:val="PageNumber"/>
      </w:rPr>
      <w:fldChar w:fldCharType="end"/>
    </w:r>
    <w:r w:rsidR="00AD2572">
      <w:rPr>
        <w:rStyle w:val="PageNumber"/>
      </w:rPr>
      <w:t xml:space="preserve"> van </w:t>
    </w:r>
    <w:r w:rsidR="00AD2572">
      <w:rPr>
        <w:rStyle w:val="PageNumber"/>
      </w:rPr>
      <w:fldChar w:fldCharType="begin"/>
    </w:r>
    <w:r w:rsidR="00AD2572">
      <w:rPr>
        <w:rStyle w:val="PageNumber"/>
      </w:rPr>
      <w:instrText xml:space="preserve"> NUMPAGES </w:instrText>
    </w:r>
    <w:r w:rsidR="00AD2572">
      <w:rPr>
        <w:rStyle w:val="PageNumber"/>
      </w:rPr>
      <w:fldChar w:fldCharType="separate"/>
    </w:r>
    <w:r w:rsidR="00BA0B2F">
      <w:rPr>
        <w:rStyle w:val="PageNumber"/>
        <w:noProof/>
      </w:rPr>
      <w:t>8</w:t>
    </w:r>
    <w:r w:rsidR="00AD2572">
      <w:rPr>
        <w:rStyle w:val="PageNumber"/>
      </w:rPr>
      <w:fldChar w:fldCharType="end"/>
    </w:r>
  </w:p>
  <w:p w:rsidR="00AD2572" w:rsidRDefault="00AD2572"/>
  <w:p w:rsidR="00AD2572" w:rsidRDefault="00AD2572" w:rsidP="002647CF"/>
  <w:p w:rsidR="00AD2572" w:rsidRDefault="00AD2572" w:rsidP="009A0BCE"/>
  <w:p w:rsidR="00AD2572" w:rsidRDefault="00AD2572" w:rsidP="00D2385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4378" w:rsidRDefault="00A74378">
      <w:r>
        <w:separator/>
      </w:r>
    </w:p>
  </w:footnote>
  <w:footnote w:type="continuationSeparator" w:id="0">
    <w:p w:rsidR="00A74378" w:rsidRDefault="00A743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14AC" w:rsidRDefault="00BA0B2F" w:rsidP="00B414AC">
    <w:pPr>
      <w:pStyle w:val="Header"/>
      <w:rPr>
        <w:b/>
        <w:sz w:val="36"/>
      </w:rPr>
    </w:pPr>
    <w:r>
      <w:rPr>
        <w:noProof/>
        <w:lang w:eastAsia="nl-NL"/>
      </w:rPr>
      <w:drawing>
        <wp:anchor distT="0" distB="0" distL="114300" distR="114300" simplePos="0" relativeHeight="251657728" behindDoc="1" locked="0" layoutInCell="1" allowOverlap="1">
          <wp:simplePos x="0" y="0"/>
          <wp:positionH relativeFrom="column">
            <wp:posOffset>0</wp:posOffset>
          </wp:positionH>
          <wp:positionV relativeFrom="paragraph">
            <wp:posOffset>7620</wp:posOffset>
          </wp:positionV>
          <wp:extent cx="914400" cy="531495"/>
          <wp:effectExtent l="0" t="0" r="0" b="1905"/>
          <wp:wrapNone/>
          <wp:docPr id="7" name="Picture 7" descr="logo NV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NVZ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531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nl-NL"/>
      </w:rPr>
      <w:drawing>
        <wp:anchor distT="0" distB="0" distL="114300" distR="114300" simplePos="0" relativeHeight="251658752" behindDoc="1" locked="0" layoutInCell="1" allowOverlap="1">
          <wp:simplePos x="0" y="0"/>
          <wp:positionH relativeFrom="column">
            <wp:posOffset>4980305</wp:posOffset>
          </wp:positionH>
          <wp:positionV relativeFrom="paragraph">
            <wp:posOffset>7620</wp:posOffset>
          </wp:positionV>
          <wp:extent cx="448945" cy="571500"/>
          <wp:effectExtent l="0" t="0" r="8255" b="0"/>
          <wp:wrapNone/>
          <wp:docPr id="8" name="Afbeelding 2" descr="rivm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rivm_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48945"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414AC" w:rsidRDefault="00B414AC" w:rsidP="00B414AC">
    <w:pPr>
      <w:pStyle w:val="Header"/>
      <w:rPr>
        <w:b/>
        <w:sz w:val="36"/>
      </w:rPr>
    </w:pPr>
  </w:p>
  <w:p w:rsidR="00B414AC" w:rsidRPr="0061282F" w:rsidRDefault="00B414AC" w:rsidP="00B414AC">
    <w:pPr>
      <w:pStyle w:val="Header"/>
      <w:rPr>
        <w:rFonts w:ascii="Verdana" w:hAnsi="Verdana"/>
      </w:rPr>
    </w:pPr>
    <w:r w:rsidRPr="0061282F">
      <w:rPr>
        <w:rFonts w:ascii="Verdana" w:hAnsi="Verdana"/>
        <w:sz w:val="16"/>
        <w:szCs w:val="16"/>
      </w:rPr>
      <w:t>Nederlandse Vereniging van Ziekenhuisapothekers</w:t>
    </w:r>
    <w:r w:rsidRPr="0061282F">
      <w:rPr>
        <w:rFonts w:ascii="Verdana" w:hAnsi="Verdana"/>
      </w:rPr>
      <w:t xml:space="preserve"> </w:t>
    </w:r>
    <w:r w:rsidRPr="0061282F">
      <w:rPr>
        <w:rFonts w:ascii="Verdana" w:hAnsi="Verdana"/>
        <w:sz w:val="16"/>
        <w:szCs w:val="16"/>
      </w:rPr>
      <w:t>- Commissie Analyse en Toxicologie</w:t>
    </w:r>
  </w:p>
  <w:p w:rsidR="00B414AC" w:rsidRPr="0061282F" w:rsidRDefault="00BA0B2F" w:rsidP="00B414AC">
    <w:pPr>
      <w:pStyle w:val="Header"/>
      <w:jc w:val="right"/>
      <w:rPr>
        <w:rFonts w:ascii="Verdana" w:hAnsi="Verdana"/>
        <w:sz w:val="16"/>
        <w:szCs w:val="16"/>
      </w:rPr>
    </w:pPr>
    <w:r w:rsidRPr="00864A23">
      <w:rPr>
        <w:rFonts w:ascii="Verdana" w:hAnsi="Verdana"/>
        <w:noProof/>
        <w:sz w:val="16"/>
        <w:szCs w:val="16"/>
        <w:lang w:eastAsia="nl-NL"/>
      </w:rPr>
      <mc:AlternateContent>
        <mc:Choice Requires="wps">
          <w:drawing>
            <wp:anchor distT="0" distB="0" distL="114300" distR="114300" simplePos="0" relativeHeight="251656704" behindDoc="0" locked="0" layoutInCell="0" allowOverlap="1">
              <wp:simplePos x="0" y="0"/>
              <wp:positionH relativeFrom="column">
                <wp:posOffset>0</wp:posOffset>
              </wp:positionH>
              <wp:positionV relativeFrom="paragraph">
                <wp:posOffset>1905</wp:posOffset>
              </wp:positionV>
              <wp:extent cx="5486400" cy="0"/>
              <wp:effectExtent l="19050" t="20955" r="19050" b="17145"/>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28575">
                        <a:solidFill>
                          <a:srgbClr val="FF99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87A2B0" id="Line 6"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5pt" to="6in,.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" o:allowincell="f" strokecolor="#f90" strokeweight="2.25pt"/>
          </w:pict>
        </mc:Fallback>
      </mc:AlternateContent>
    </w:r>
    <w:r w:rsidR="00B414AC" w:rsidRPr="0061282F">
      <w:rPr>
        <w:rFonts w:ascii="Verdana" w:hAnsi="Verdana"/>
        <w:sz w:val="16"/>
        <w:szCs w:val="16"/>
      </w:rPr>
      <w:t>Nationaal Vergiftigingen Informatie Centrum van het RIVM</w:t>
    </w:r>
  </w:p>
  <w:p w:rsidR="00B414AC" w:rsidRPr="0061282F" w:rsidRDefault="00B414AC" w:rsidP="00B414AC">
    <w:pPr>
      <w:rPr>
        <w:rFonts w:ascii="Verdana" w:hAnsi="Verdana"/>
      </w:rPr>
    </w:pPr>
  </w:p>
  <w:p w:rsidR="00B414AC" w:rsidRPr="00864A23" w:rsidRDefault="00B414AC" w:rsidP="00B414AC">
    <w:pPr>
      <w:pStyle w:val="Header"/>
      <w:rPr>
        <w:rFonts w:ascii="Verdana" w:hAnsi="Verdana"/>
      </w:rPr>
    </w:pPr>
    <w:r w:rsidRPr="00864A23">
      <w:rPr>
        <w:rFonts w:ascii="Verdana" w:hAnsi="Verdana"/>
        <w:b/>
        <w:sz w:val="36"/>
      </w:rPr>
      <w:t>Toxicologie behandelinformatie</w:t>
    </w:r>
    <w:r w:rsidRPr="00864A23">
      <w:rPr>
        <w:rFonts w:ascii="Verdana" w:hAnsi="Verdana"/>
      </w:rPr>
      <w:t xml:space="preserve">  </w:t>
    </w:r>
  </w:p>
  <w:p w:rsidR="006D288C" w:rsidRDefault="006D288C" w:rsidP="00D2385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867A8588"/>
    <w:lvl w:ilvl="0">
      <w:numFmt w:val="bullet"/>
      <w:lvlText w:val="*"/>
      <w:lvlJc w:val="left"/>
    </w:lvl>
  </w:abstractNum>
  <w:abstractNum w:abstractNumId="1">
    <w:nsid w:val="03120AC0"/>
    <w:multiLevelType w:val="hybridMultilevel"/>
    <w:tmpl w:val="31D299C6"/>
    <w:lvl w:ilvl="0" w:tplc="2CBA6564">
      <w:start w:val="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4A01CB2"/>
    <w:multiLevelType w:val="hybridMultilevel"/>
    <w:tmpl w:val="438A5766"/>
    <w:lvl w:ilvl="0" w:tplc="2CBA6564">
      <w:start w:val="4"/>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8624A9A"/>
    <w:multiLevelType w:val="multilevel"/>
    <w:tmpl w:val="BC50CE10"/>
    <w:lvl w:ilvl="0">
      <w:numFmt w:val="bullet"/>
      <w:lvlText w:val="-"/>
      <w:lvlJc w:val="left"/>
      <w:pPr>
        <w:tabs>
          <w:tab w:val="num" w:pos="360"/>
        </w:tabs>
        <w:ind w:left="360" w:hanging="360"/>
      </w:pPr>
      <w:rPr>
        <w:rFonts w:ascii="Arial" w:hAnsi="Arial"/>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8A97113"/>
    <w:multiLevelType w:val="hybridMultilevel"/>
    <w:tmpl w:val="90D027A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13805714"/>
    <w:multiLevelType w:val="singleLevel"/>
    <w:tmpl w:val="A58A2578"/>
    <w:lvl w:ilvl="0">
      <w:start w:val="1"/>
      <w:numFmt w:val="decimal"/>
      <w:lvlText w:val="%1."/>
      <w:legacy w:legacy="1" w:legacySpace="0" w:legacyIndent="360"/>
      <w:lvlJc w:val="left"/>
      <w:rPr>
        <w:rFonts w:ascii="@Arial Unicode MS" w:eastAsia="@Arial Unicode MS" w:hAnsi="@Arial Unicode MS" w:cs="@Arial Unicode MS" w:hint="eastAsia"/>
      </w:rPr>
    </w:lvl>
  </w:abstractNum>
  <w:abstractNum w:abstractNumId="6">
    <w:nsid w:val="16E86F0D"/>
    <w:multiLevelType w:val="hybridMultilevel"/>
    <w:tmpl w:val="AADC4D78"/>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73B58DA"/>
    <w:multiLevelType w:val="hybridMultilevel"/>
    <w:tmpl w:val="B0540E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9A158EB"/>
    <w:multiLevelType w:val="multilevel"/>
    <w:tmpl w:val="BC50CE10"/>
    <w:lvl w:ilvl="0">
      <w:numFmt w:val="bullet"/>
      <w:lvlText w:val="-"/>
      <w:lvlJc w:val="left"/>
      <w:pPr>
        <w:tabs>
          <w:tab w:val="num" w:pos="360"/>
        </w:tabs>
        <w:ind w:left="360" w:hanging="360"/>
      </w:pPr>
      <w:rPr>
        <w:rFonts w:ascii="Arial" w:hAnsi="Arial"/>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1A184B3B"/>
    <w:multiLevelType w:val="hybridMultilevel"/>
    <w:tmpl w:val="E4A0807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1A237626"/>
    <w:multiLevelType w:val="hybridMultilevel"/>
    <w:tmpl w:val="35623D1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1A490D4E"/>
    <w:multiLevelType w:val="hybridMultilevel"/>
    <w:tmpl w:val="4C327976"/>
    <w:lvl w:ilvl="0" w:tplc="91A4BBE0">
      <w:numFmt w:val="bullet"/>
      <w:lvlText w:val="-"/>
      <w:lvlJc w:val="left"/>
      <w:pPr>
        <w:tabs>
          <w:tab w:val="num" w:pos="360"/>
        </w:tabs>
        <w:ind w:left="360" w:hanging="360"/>
      </w:pPr>
      <w:rPr>
        <w:rFonts w:ascii="Verdana" w:eastAsia="Symbol"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74533F6"/>
    <w:multiLevelType w:val="hybridMultilevel"/>
    <w:tmpl w:val="60CE3B02"/>
    <w:lvl w:ilvl="0" w:tplc="2CBA6564">
      <w:start w:val="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74B13CD"/>
    <w:multiLevelType w:val="hybridMultilevel"/>
    <w:tmpl w:val="DF984DF0"/>
    <w:lvl w:ilvl="0" w:tplc="4AF06DDA">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2CC53B3D"/>
    <w:multiLevelType w:val="hybridMultilevel"/>
    <w:tmpl w:val="B0202D62"/>
    <w:lvl w:ilvl="0" w:tplc="29ECD094">
      <w:start w:val="1"/>
      <w:numFmt w:val="bullet"/>
      <w:lvlText w:val=""/>
      <w:lvlJc w:val="left"/>
      <w:pPr>
        <w:tabs>
          <w:tab w:val="num" w:pos="360"/>
        </w:tabs>
        <w:ind w:left="36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D387E85"/>
    <w:multiLevelType w:val="multilevel"/>
    <w:tmpl w:val="BC50CE10"/>
    <w:lvl w:ilvl="0">
      <w:numFmt w:val="bullet"/>
      <w:lvlText w:val="-"/>
      <w:lvlJc w:val="left"/>
      <w:pPr>
        <w:tabs>
          <w:tab w:val="num" w:pos="360"/>
        </w:tabs>
        <w:ind w:left="360" w:hanging="360"/>
      </w:pPr>
      <w:rPr>
        <w:rFonts w:ascii="Arial" w:hAnsi="Arial"/>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338C39C2"/>
    <w:multiLevelType w:val="hybridMultilevel"/>
    <w:tmpl w:val="05420D12"/>
    <w:lvl w:ilvl="0" w:tplc="91A4BBE0">
      <w:numFmt w:val="bullet"/>
      <w:lvlText w:val="-"/>
      <w:lvlJc w:val="left"/>
      <w:pPr>
        <w:tabs>
          <w:tab w:val="num" w:pos="360"/>
        </w:tabs>
        <w:ind w:left="360" w:hanging="360"/>
      </w:pPr>
      <w:rPr>
        <w:rFonts w:ascii="Verdana" w:eastAsia="Symbol"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34305FF6"/>
    <w:multiLevelType w:val="hybridMultilevel"/>
    <w:tmpl w:val="DF984DF0"/>
    <w:lvl w:ilvl="0" w:tplc="4AF06DDA">
      <w:start w:val="1"/>
      <w:numFmt w:val="lowerLetter"/>
      <w:lvlText w:val="%1)"/>
      <w:lvlJc w:val="left"/>
      <w:pPr>
        <w:tabs>
          <w:tab w:val="num" w:pos="1080"/>
        </w:tabs>
        <w:ind w:left="1080" w:hanging="360"/>
      </w:pPr>
      <w:rPr>
        <w:rFonts w:hint="default"/>
      </w:rPr>
    </w:lvl>
    <w:lvl w:ilvl="1" w:tplc="29ECD094">
      <w:start w:val="1"/>
      <w:numFmt w:val="bullet"/>
      <w:lvlText w:val=""/>
      <w:lvlJc w:val="left"/>
      <w:pPr>
        <w:tabs>
          <w:tab w:val="num" w:pos="1800"/>
        </w:tabs>
        <w:ind w:left="1800" w:hanging="360"/>
      </w:pPr>
      <w:rPr>
        <w:rFonts w:ascii="Symbol" w:hAnsi="Symbol" w:hint="default"/>
        <w:sz w:val="20"/>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381A7178"/>
    <w:multiLevelType w:val="multilevel"/>
    <w:tmpl w:val="BC50CE10"/>
    <w:lvl w:ilvl="0">
      <w:numFmt w:val="bullet"/>
      <w:lvlText w:val="-"/>
      <w:lvlJc w:val="left"/>
      <w:pPr>
        <w:tabs>
          <w:tab w:val="num" w:pos="360"/>
        </w:tabs>
        <w:ind w:left="360" w:hanging="360"/>
      </w:pPr>
      <w:rPr>
        <w:rFonts w:ascii="Arial" w:hAnsi="Arial"/>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9">
    <w:nsid w:val="3CD02AAB"/>
    <w:multiLevelType w:val="hybridMultilevel"/>
    <w:tmpl w:val="1690E8EC"/>
    <w:lvl w:ilvl="0" w:tplc="2CBA6564">
      <w:start w:val="4"/>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0">
    <w:nsid w:val="406A5ADC"/>
    <w:multiLevelType w:val="multilevel"/>
    <w:tmpl w:val="1690E8EC"/>
    <w:lvl w:ilvl="0">
      <w:start w:val="4"/>
      <w:numFmt w:val="decimal"/>
      <w:lvlText w:val="%1."/>
      <w:lvlJc w:val="left"/>
      <w:pPr>
        <w:tabs>
          <w:tab w:val="num" w:pos="720"/>
        </w:tabs>
        <w:ind w:left="720" w:hanging="72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1">
    <w:nsid w:val="42491FE2"/>
    <w:multiLevelType w:val="hybridMultilevel"/>
    <w:tmpl w:val="BC50CE10"/>
    <w:lvl w:ilvl="0" w:tplc="91A4BBE0">
      <w:numFmt w:val="bullet"/>
      <w:lvlText w:val="-"/>
      <w:lvlJc w:val="left"/>
      <w:pPr>
        <w:tabs>
          <w:tab w:val="num" w:pos="360"/>
        </w:tabs>
        <w:ind w:left="360" w:hanging="360"/>
      </w:pPr>
      <w:rPr>
        <w:rFonts w:ascii="Verdana" w:eastAsia="Symbol"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43957536"/>
    <w:multiLevelType w:val="hybridMultilevel"/>
    <w:tmpl w:val="CF22CD18"/>
    <w:lvl w:ilvl="0" w:tplc="29ECD094">
      <w:start w:val="1"/>
      <w:numFmt w:val="bullet"/>
      <w:lvlText w:val=""/>
      <w:lvlJc w:val="left"/>
      <w:pPr>
        <w:tabs>
          <w:tab w:val="num" w:pos="360"/>
        </w:tabs>
        <w:ind w:left="360" w:hanging="360"/>
      </w:pPr>
      <w:rPr>
        <w:rFonts w:ascii="Symbol" w:hAnsi="Symbol" w:hint="default"/>
        <w:sz w:val="20"/>
      </w:rPr>
    </w:lvl>
    <w:lvl w:ilvl="1" w:tplc="29ECD094">
      <w:start w:val="1"/>
      <w:numFmt w:val="bullet"/>
      <w:lvlText w:val=""/>
      <w:lvlJc w:val="left"/>
      <w:pPr>
        <w:tabs>
          <w:tab w:val="num" w:pos="1440"/>
        </w:tabs>
        <w:ind w:left="1440" w:hanging="360"/>
      </w:pPr>
      <w:rPr>
        <w:rFonts w:ascii="Symbol" w:hAnsi="Symbol" w:hint="default"/>
        <w:sz w:val="2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1EA544F"/>
    <w:multiLevelType w:val="hybridMultilevel"/>
    <w:tmpl w:val="4F62D84E"/>
    <w:lvl w:ilvl="0" w:tplc="FE268AA4">
      <w:numFmt w:val="bullet"/>
      <w:lvlText w:val="-"/>
      <w:lvlJc w:val="left"/>
      <w:pPr>
        <w:ind w:left="360" w:hanging="360"/>
      </w:pPr>
      <w:rPr>
        <w:rFonts w:ascii="Verdana" w:eastAsia="Times New Roman" w:hAnsi="Verdana"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4">
    <w:nsid w:val="5B4E0F99"/>
    <w:multiLevelType w:val="hybridMultilevel"/>
    <w:tmpl w:val="CC042B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5F1A3464"/>
    <w:multiLevelType w:val="multilevel"/>
    <w:tmpl w:val="BC50CE10"/>
    <w:lvl w:ilvl="0">
      <w:numFmt w:val="bullet"/>
      <w:lvlText w:val="-"/>
      <w:lvlJc w:val="left"/>
      <w:pPr>
        <w:tabs>
          <w:tab w:val="num" w:pos="360"/>
        </w:tabs>
        <w:ind w:left="360" w:hanging="360"/>
      </w:pPr>
      <w:rPr>
        <w:rFonts w:ascii="Arial" w:hAnsi="Arial"/>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64556F7A"/>
    <w:multiLevelType w:val="hybridMultilevel"/>
    <w:tmpl w:val="C59A5DAE"/>
    <w:lvl w:ilvl="0" w:tplc="2CBA6564">
      <w:start w:val="4"/>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7">
    <w:nsid w:val="6A9E7373"/>
    <w:multiLevelType w:val="hybridMultilevel"/>
    <w:tmpl w:val="6D9C8B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6EEF2012"/>
    <w:multiLevelType w:val="hybridMultilevel"/>
    <w:tmpl w:val="F39A10B2"/>
    <w:lvl w:ilvl="0" w:tplc="0413000F">
      <w:start w:val="1"/>
      <w:numFmt w:val="decimal"/>
      <w:lvlText w:val="%1."/>
      <w:lvlJc w:val="left"/>
      <w:pPr>
        <w:tabs>
          <w:tab w:val="num" w:pos="360"/>
        </w:tabs>
        <w:ind w:left="360" w:hanging="360"/>
      </w:pPr>
      <w:rPr>
        <w:rFonts w:hint="default"/>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29">
    <w:nsid w:val="70E55A74"/>
    <w:multiLevelType w:val="multilevel"/>
    <w:tmpl w:val="BC50CE10"/>
    <w:lvl w:ilvl="0">
      <w:numFmt w:val="bullet"/>
      <w:lvlText w:val="-"/>
      <w:lvlJc w:val="left"/>
      <w:pPr>
        <w:tabs>
          <w:tab w:val="num" w:pos="360"/>
        </w:tabs>
        <w:ind w:left="360" w:hanging="360"/>
      </w:pPr>
      <w:rPr>
        <w:rFonts w:ascii="Arial" w:hAnsi="Arial"/>
        <w:sz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0">
    <w:nsid w:val="72404977"/>
    <w:multiLevelType w:val="hybridMultilevel"/>
    <w:tmpl w:val="363AA7EE"/>
    <w:lvl w:ilvl="0" w:tplc="91A4BBE0">
      <w:numFmt w:val="bullet"/>
      <w:lvlText w:val="-"/>
      <w:lvlJc w:val="left"/>
      <w:pPr>
        <w:tabs>
          <w:tab w:val="num" w:pos="360"/>
        </w:tabs>
        <w:ind w:left="360" w:hanging="360"/>
      </w:pPr>
      <w:rPr>
        <w:rFonts w:ascii="Verdana" w:eastAsia="Symbol" w:hAnsi="Verdana"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5905442"/>
    <w:multiLevelType w:val="hybridMultilevel"/>
    <w:tmpl w:val="38F0C27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5"/>
  </w:num>
  <w:num w:numId="3">
    <w:abstractNumId w:val="5"/>
    <w:lvlOverride w:ilvl="0">
      <w:lvl w:ilvl="0">
        <w:start w:val="2"/>
        <w:numFmt w:val="decimal"/>
        <w:lvlText w:val="%1."/>
        <w:legacy w:legacy="1" w:legacySpace="0" w:legacyIndent="360"/>
        <w:lvlJc w:val="left"/>
        <w:rPr>
          <w:rFonts w:ascii="@Arial Unicode MS" w:eastAsia="@Arial Unicode MS" w:hAnsi="@Arial Unicode MS" w:cs="@Arial Unicode MS" w:hint="eastAsia"/>
        </w:rPr>
      </w:lvl>
    </w:lvlOverride>
  </w:num>
  <w:num w:numId="4">
    <w:abstractNumId w:val="5"/>
    <w:lvlOverride w:ilvl="0">
      <w:lvl w:ilvl="0">
        <w:start w:val="3"/>
        <w:numFmt w:val="decimal"/>
        <w:lvlText w:val="%1."/>
        <w:legacy w:legacy="1" w:legacySpace="0" w:legacyIndent="360"/>
        <w:lvlJc w:val="left"/>
        <w:rPr>
          <w:rFonts w:ascii="@Arial Unicode MS" w:eastAsia="@Arial Unicode MS" w:hAnsi="@Arial Unicode MS" w:cs="@Arial Unicode MS" w:hint="eastAsia"/>
        </w:rPr>
      </w:lvl>
    </w:lvlOverride>
  </w:num>
  <w:num w:numId="5">
    <w:abstractNumId w:val="16"/>
  </w:num>
  <w:num w:numId="6">
    <w:abstractNumId w:val="21"/>
  </w:num>
  <w:num w:numId="7">
    <w:abstractNumId w:val="11"/>
  </w:num>
  <w:num w:numId="8">
    <w:abstractNumId w:val="4"/>
  </w:num>
  <w:num w:numId="9">
    <w:abstractNumId w:val="15"/>
  </w:num>
  <w:num w:numId="10">
    <w:abstractNumId w:val="3"/>
  </w:num>
  <w:num w:numId="11">
    <w:abstractNumId w:val="18"/>
  </w:num>
  <w:num w:numId="12">
    <w:abstractNumId w:val="25"/>
  </w:num>
  <w:num w:numId="13">
    <w:abstractNumId w:val="8"/>
  </w:num>
  <w:num w:numId="14">
    <w:abstractNumId w:val="29"/>
  </w:num>
  <w:num w:numId="15">
    <w:abstractNumId w:val="30"/>
  </w:num>
  <w:num w:numId="16">
    <w:abstractNumId w:val="1"/>
  </w:num>
  <w:num w:numId="17">
    <w:abstractNumId w:val="12"/>
  </w:num>
  <w:num w:numId="18">
    <w:abstractNumId w:val="2"/>
  </w:num>
  <w:num w:numId="19">
    <w:abstractNumId w:val="19"/>
  </w:num>
  <w:num w:numId="20">
    <w:abstractNumId w:val="20"/>
  </w:num>
  <w:num w:numId="21">
    <w:abstractNumId w:val="26"/>
  </w:num>
  <w:num w:numId="22">
    <w:abstractNumId w:val="31"/>
  </w:num>
  <w:num w:numId="23">
    <w:abstractNumId w:val="13"/>
  </w:num>
  <w:num w:numId="24">
    <w:abstractNumId w:val="17"/>
  </w:num>
  <w:num w:numId="25">
    <w:abstractNumId w:val="22"/>
  </w:num>
  <w:num w:numId="26">
    <w:abstractNumId w:val="14"/>
  </w:num>
  <w:num w:numId="27">
    <w:abstractNumId w:val="28"/>
  </w:num>
  <w:num w:numId="28">
    <w:abstractNumId w:val="23"/>
  </w:num>
  <w:num w:numId="29">
    <w:abstractNumId w:val="6"/>
  </w:num>
  <w:num w:numId="30">
    <w:abstractNumId w:val="9"/>
  </w:num>
  <w:num w:numId="31">
    <w:abstractNumId w:val="27"/>
  </w:num>
  <w:num w:numId="32">
    <w:abstractNumId w:val="24"/>
  </w:num>
  <w:num w:numId="33">
    <w:abstractNumId w:val="10"/>
  </w:num>
  <w:num w:numId="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481"/>
    <w:rsid w:val="000133AE"/>
    <w:rsid w:val="00195732"/>
    <w:rsid w:val="001D29ED"/>
    <w:rsid w:val="002548AC"/>
    <w:rsid w:val="00262A7B"/>
    <w:rsid w:val="002647CF"/>
    <w:rsid w:val="00351BF5"/>
    <w:rsid w:val="004023B9"/>
    <w:rsid w:val="00491691"/>
    <w:rsid w:val="00516AA7"/>
    <w:rsid w:val="00585822"/>
    <w:rsid w:val="005909B1"/>
    <w:rsid w:val="005A6B85"/>
    <w:rsid w:val="005F48CB"/>
    <w:rsid w:val="00660481"/>
    <w:rsid w:val="006653FE"/>
    <w:rsid w:val="006D288C"/>
    <w:rsid w:val="008A4FF2"/>
    <w:rsid w:val="008D43F9"/>
    <w:rsid w:val="009119D4"/>
    <w:rsid w:val="009A0BCE"/>
    <w:rsid w:val="009C292D"/>
    <w:rsid w:val="00A74378"/>
    <w:rsid w:val="00AD2572"/>
    <w:rsid w:val="00B414AC"/>
    <w:rsid w:val="00BA08A9"/>
    <w:rsid w:val="00BA0B2F"/>
    <w:rsid w:val="00BC2087"/>
    <w:rsid w:val="00BE12D6"/>
    <w:rsid w:val="00C23DAE"/>
    <w:rsid w:val="00D23858"/>
    <w:rsid w:val="00D261BF"/>
    <w:rsid w:val="00D53138"/>
    <w:rsid w:val="00F97BB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16A24B2D-D1F6-4564-B6E5-550614364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Pr>
      <w:rFonts w:ascii="Trebuchet MS" w:eastAsia="@Arial Unicode MS" w:hAnsi="Trebuchet MS"/>
      <w:szCs w:val="18"/>
      <w:lang w:eastAsia="en-US"/>
    </w:rPr>
  </w:style>
  <w:style w:type="paragraph" w:styleId="Heading1">
    <w:name w:val="heading 1"/>
    <w:basedOn w:val="Normal"/>
    <w:next w:val="Normal"/>
    <w:link w:val="Heading1Char"/>
    <w:qFormat/>
    <w:rsid w:val="00351BF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qFormat/>
    <w:pPr>
      <w:keepNext/>
      <w:jc w:val="center"/>
      <w:outlineLvl w:val="1"/>
    </w:pPr>
    <w:rPr>
      <w:rFonts w:ascii="Verdana" w:hAnsi="Verdana" w:cs="Arial"/>
      <w:b/>
      <w:szCs w:val="24"/>
    </w:rPr>
  </w:style>
  <w:style w:type="paragraph" w:styleId="Heading4">
    <w:name w:val="heading 4"/>
    <w:basedOn w:val="Normal"/>
    <w:next w:val="Normal"/>
    <w:qFormat/>
    <w:pPr>
      <w:keepNext/>
      <w:outlineLvl w:val="3"/>
    </w:pPr>
    <w:rPr>
      <w:rFonts w:ascii="Verdana" w:hAnsi="Verdana"/>
      <w:b/>
      <w:bCs/>
      <w:iCs/>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Style1">
    <w:name w:val="Style1"/>
    <w:basedOn w:val="Normal"/>
    <w:pPr>
      <w:widowControl w:val="0"/>
      <w:tabs>
        <w:tab w:val="left" w:pos="2494"/>
        <w:tab w:val="left" w:pos="2880"/>
        <w:tab w:val="left" w:pos="3448"/>
        <w:tab w:val="left" w:pos="3928"/>
        <w:tab w:val="left" w:pos="4408"/>
        <w:tab w:val="left" w:pos="4888"/>
        <w:tab w:val="left" w:pos="5368"/>
        <w:tab w:val="left" w:pos="5848"/>
        <w:tab w:val="left" w:pos="6328"/>
        <w:tab w:val="left" w:pos="6808"/>
        <w:tab w:val="left" w:pos="7200"/>
        <w:tab w:val="left" w:pos="7680"/>
        <w:tab w:val="left" w:pos="8160"/>
        <w:tab w:val="left" w:pos="8640"/>
        <w:tab w:val="left" w:pos="9120"/>
        <w:tab w:val="left" w:pos="9600"/>
        <w:tab w:val="left" w:pos="10080"/>
        <w:tab w:val="left" w:pos="10560"/>
        <w:tab w:val="left" w:pos="11040"/>
      </w:tabs>
      <w:suppressAutoHyphens/>
      <w:autoSpaceDE w:val="0"/>
      <w:autoSpaceDN w:val="0"/>
      <w:adjustRightInd w:val="0"/>
    </w:pPr>
    <w:rPr>
      <w:rFonts w:ascii="@Arial Unicode MS" w:hAnsi="Times New Roman" w:cs="@Arial Unicode MS"/>
      <w:szCs w:val="20"/>
    </w:rPr>
  </w:style>
  <w:style w:type="paragraph" w:customStyle="1" w:styleId="Style11">
    <w:name w:val="Style11"/>
    <w:basedOn w:val="Normal"/>
    <w:next w:val="Style1"/>
    <w:pPr>
      <w:widowControl w:val="0"/>
      <w:tabs>
        <w:tab w:val="left" w:pos="2494"/>
        <w:tab w:val="left" w:pos="2880"/>
        <w:tab w:val="left" w:pos="3448"/>
        <w:tab w:val="left" w:pos="3928"/>
        <w:tab w:val="left" w:pos="4408"/>
        <w:tab w:val="left" w:pos="4888"/>
        <w:tab w:val="left" w:pos="5368"/>
        <w:tab w:val="left" w:pos="5848"/>
        <w:tab w:val="left" w:pos="6328"/>
        <w:tab w:val="left" w:pos="6808"/>
        <w:tab w:val="left" w:pos="7200"/>
        <w:tab w:val="left" w:pos="7680"/>
        <w:tab w:val="left" w:pos="8160"/>
        <w:tab w:val="left" w:pos="8640"/>
        <w:tab w:val="left" w:pos="9120"/>
        <w:tab w:val="left" w:pos="9600"/>
        <w:tab w:val="left" w:pos="10080"/>
        <w:tab w:val="left" w:pos="10560"/>
        <w:tab w:val="left" w:pos="11040"/>
      </w:tabs>
      <w:suppressAutoHyphens/>
      <w:autoSpaceDE w:val="0"/>
      <w:autoSpaceDN w:val="0"/>
      <w:adjustRightInd w:val="0"/>
    </w:pPr>
    <w:rPr>
      <w:rFonts w:ascii="@Arial Unicode MS" w:hAnsi="Times New Roman" w:cs="@Arial Unicode MS"/>
      <w:szCs w:val="20"/>
    </w:rPr>
  </w:style>
  <w:style w:type="paragraph" w:styleId="BodyText">
    <w:name w:val="Body Text"/>
    <w:basedOn w:val="Normal"/>
    <w:pPr>
      <w:jc w:val="both"/>
    </w:pPr>
    <w:rPr>
      <w:rFonts w:ascii="Verdana" w:hAnsi="Verdana"/>
      <w:color w:val="000000"/>
      <w:szCs w:val="17"/>
    </w:rPr>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2">
    <w:name w:val="Body Text 2"/>
    <w:basedOn w:val="Normal"/>
    <w:pPr>
      <w:jc w:val="both"/>
    </w:pPr>
    <w:rPr>
      <w:rFonts w:ascii="Verdana" w:hAnsi="Verdana"/>
      <w:szCs w:val="24"/>
    </w:rPr>
  </w:style>
  <w:style w:type="paragraph" w:styleId="BodyTextIndent">
    <w:name w:val="Body Text Indent"/>
    <w:basedOn w:val="Normal"/>
    <w:pPr>
      <w:ind w:left="2160"/>
      <w:jc w:val="both"/>
    </w:pPr>
    <w:rPr>
      <w:rFonts w:ascii="Verdana" w:hAnsi="Verdana"/>
      <w:szCs w:val="24"/>
    </w:rPr>
  </w:style>
  <w:style w:type="character" w:styleId="Strong">
    <w:name w:val="Strong"/>
    <w:basedOn w:val="DefaultParagraphFont"/>
    <w:qFormat/>
    <w:rPr>
      <w:b/>
      <w:bCs/>
    </w:rPr>
  </w:style>
  <w:style w:type="character" w:customStyle="1" w:styleId="Heading1Char">
    <w:name w:val="Heading 1 Char"/>
    <w:basedOn w:val="DefaultParagraphFont"/>
    <w:link w:val="Heading1"/>
    <w:rsid w:val="00351BF5"/>
    <w:rPr>
      <w:rFonts w:ascii="Cambria" w:eastAsia="Times New Roman" w:hAnsi="Cambria" w:cs="Times New Roman"/>
      <w:b/>
      <w:bCs/>
      <w:kern w:val="32"/>
      <w:sz w:val="32"/>
      <w:szCs w:val="32"/>
      <w:lang w:eastAsia="en-US"/>
    </w:rPr>
  </w:style>
  <w:style w:type="paragraph" w:customStyle="1" w:styleId="Geenafstand">
    <w:name w:val="Geen afstand"/>
    <w:uiPriority w:val="1"/>
    <w:qFormat/>
    <w:rsid w:val="00351BF5"/>
    <w:rPr>
      <w:sz w:val="22"/>
      <w:szCs w:val="24"/>
      <w:lang w:eastAsia="en-US"/>
    </w:rPr>
  </w:style>
  <w:style w:type="character" w:customStyle="1" w:styleId="HeaderChar">
    <w:name w:val="Header Char"/>
    <w:basedOn w:val="DefaultParagraphFont"/>
    <w:link w:val="Header"/>
    <w:locked/>
    <w:rsid w:val="00B414AC"/>
    <w:rPr>
      <w:rFonts w:ascii="Trebuchet MS" w:eastAsia="@Arial Unicode MS" w:hAnsi="Trebuchet MS"/>
      <w:szCs w:val="18"/>
      <w:lang w:val="nl-NL"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2894</Words>
  <Characters>15920</Characters>
  <Application>Microsoft Office Word</Application>
  <DocSecurity>0</DocSecurity>
  <Lines>132</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Algemeen</vt:lpstr>
      <vt:lpstr>Algemeen</vt:lpstr>
    </vt:vector>
  </TitlesOfParts>
  <Company>Jerle</Company>
  <LinksUpToDate>false</LinksUpToDate>
  <CharactersWithSpaces>18777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Algemeen</dc:title>
  <dc:subject/>
  <dc:creator>Anne de Roos</dc:creator>
  <cp:keywords/>
  <dc:description/>
  <cp:lastModifiedBy>Bert van Nes</cp:lastModifiedBy>
  <cp:revision>2</cp:revision>
  <dcterms:created xsi:type="dcterms:W3CDTF">2014-01-23T17:31:00Z</dcterms:created>
  <dcterms:modified xsi:type="dcterms:W3CDTF">2014-01-23T17:31:00Z</dcterms:modified>
</cp:coreProperties>
</file>